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43B" w:rsidRPr="00B0643B" w:rsidRDefault="00B0643B" w:rsidP="00B0643B">
      <w:pPr>
        <w:shd w:val="clear" w:color="auto" w:fill="FFFFFF" w:themeFill="background1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bookmarkStart w:id="0" w:name="_GoBack"/>
      <w:bookmarkEnd w:id="0"/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</w:t>
      </w:r>
      <w:r w:rsidR="00F1344D">
        <w:rPr>
          <w:rFonts w:ascii="Times New Roman Tj" w:hAnsi="Times New Roman Tj" w:cs="Times New Roman"/>
          <w:sz w:val="28"/>
          <w:szCs w:val="28"/>
        </w:rPr>
        <w:t xml:space="preserve">                               </w:t>
      </w:r>
      <w:r w:rsidR="00802F96">
        <w:rPr>
          <w:rFonts w:ascii="Times New Roman Tj" w:hAnsi="Times New Roman Tj" w:cs="Times New Roman"/>
          <w:sz w:val="28"/>
          <w:szCs w:val="28"/>
        </w:rPr>
        <w:t>Приложение</w:t>
      </w:r>
      <w:r w:rsidR="001A0276">
        <w:rPr>
          <w:rFonts w:ascii="Times New Roman Tj" w:hAnsi="Times New Roman Tj" w:cs="Times New Roman"/>
          <w:sz w:val="28"/>
          <w:szCs w:val="28"/>
        </w:rPr>
        <w:t xml:space="preserve"> 2</w:t>
      </w:r>
    </w:p>
    <w:p w:rsidR="00B0643B" w:rsidRPr="00B0643B" w:rsidRDefault="00626A5E" w:rsidP="00B0643B">
      <w:pPr>
        <w:shd w:val="clear" w:color="auto" w:fill="FFFFFF" w:themeFill="background1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B0643B">
        <w:rPr>
          <w:rFonts w:ascii="Times New Roman Tj" w:hAnsi="Times New Roman Tj" w:cs="Times New Roman"/>
          <w:sz w:val="28"/>
          <w:szCs w:val="28"/>
        </w:rPr>
        <w:t xml:space="preserve"> </w:t>
      </w:r>
      <w:r w:rsidR="00B0643B" w:rsidRPr="00B0643B"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B0643B">
        <w:rPr>
          <w:rFonts w:ascii="Times New Roman Tj" w:hAnsi="Times New Roman Tj" w:cs="Times New Roman"/>
          <w:sz w:val="28"/>
          <w:szCs w:val="28"/>
        </w:rPr>
        <w:t xml:space="preserve">           </w:t>
      </w:r>
      <w:r w:rsidR="00802F96">
        <w:rPr>
          <w:rFonts w:ascii="Times New Roman Tj" w:hAnsi="Times New Roman Tj" w:cs="Times New Roman"/>
          <w:sz w:val="28"/>
          <w:szCs w:val="28"/>
        </w:rPr>
        <w:t xml:space="preserve">к </w:t>
      </w:r>
      <w:r w:rsidRPr="00B0643B">
        <w:rPr>
          <w:rFonts w:ascii="Times New Roman Tj" w:hAnsi="Times New Roman Tj" w:cs="Times New Roman"/>
          <w:sz w:val="28"/>
          <w:szCs w:val="28"/>
        </w:rPr>
        <w:t>постановлени</w:t>
      </w:r>
      <w:r w:rsidR="00802F96">
        <w:rPr>
          <w:rFonts w:ascii="Times New Roman Tj" w:hAnsi="Times New Roman Tj" w:cs="Times New Roman"/>
          <w:sz w:val="28"/>
          <w:szCs w:val="28"/>
        </w:rPr>
        <w:t>ю</w:t>
      </w:r>
      <w:r w:rsidRPr="00B0643B">
        <w:rPr>
          <w:rFonts w:ascii="Times New Roman Tj" w:hAnsi="Times New Roman Tj" w:cs="Times New Roman"/>
          <w:sz w:val="28"/>
          <w:szCs w:val="28"/>
        </w:rPr>
        <w:t xml:space="preserve"> Правительства </w:t>
      </w:r>
    </w:p>
    <w:p w:rsidR="00626A5E" w:rsidRPr="00B0643B" w:rsidRDefault="00B0643B" w:rsidP="00B0643B">
      <w:pPr>
        <w:shd w:val="clear" w:color="auto" w:fill="FFFFFF" w:themeFill="background1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626A5E" w:rsidRPr="00B0643B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E2EC8" w:rsidRPr="007D541D" w:rsidRDefault="00AE2EC8" w:rsidP="00AE2EC8">
      <w:pPr>
        <w:pStyle w:val="ac"/>
        <w:spacing w:before="0" w:line="247" w:lineRule="auto"/>
        <w:ind w:firstLine="448"/>
        <w:contextualSpacing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                                             </w:t>
      </w:r>
      <w:r w:rsidRPr="007D541D">
        <w:rPr>
          <w:rFonts w:ascii="Times New Roman Tj" w:hAnsi="Times New Roman Tj"/>
          <w:sz w:val="28"/>
          <w:szCs w:val="28"/>
        </w:rPr>
        <w:t xml:space="preserve">от </w:t>
      </w:r>
      <w:r>
        <w:rPr>
          <w:rFonts w:ascii="Times New Roman Tj" w:hAnsi="Times New Roman Tj"/>
          <w:sz w:val="28"/>
          <w:szCs w:val="28"/>
        </w:rPr>
        <w:t>3 апреля</w:t>
      </w:r>
      <w:r w:rsidRPr="007D541D">
        <w:rPr>
          <w:rFonts w:ascii="Times New Roman Tj" w:hAnsi="Times New Roman Tj"/>
          <w:sz w:val="28"/>
          <w:szCs w:val="28"/>
        </w:rPr>
        <w:t xml:space="preserve"> 2021 года, №</w:t>
      </w:r>
      <w:bookmarkStart w:id="1" w:name="A5U40VR70V"/>
      <w:bookmarkStart w:id="2" w:name="A5U40VR8VA"/>
      <w:bookmarkEnd w:id="1"/>
      <w:bookmarkEnd w:id="2"/>
      <w:r>
        <w:rPr>
          <w:rFonts w:ascii="Times New Roman Tj" w:hAnsi="Times New Roman Tj"/>
          <w:sz w:val="28"/>
          <w:szCs w:val="28"/>
        </w:rPr>
        <w:t>112</w:t>
      </w:r>
    </w:p>
    <w:p w:rsidR="00626A5E" w:rsidRDefault="00626A5E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1"/>
          <w:szCs w:val="21"/>
        </w:rPr>
      </w:pPr>
    </w:p>
    <w:p w:rsidR="009C7519" w:rsidRPr="00B0643B" w:rsidRDefault="009C7519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1"/>
          <w:szCs w:val="21"/>
        </w:rPr>
      </w:pPr>
    </w:p>
    <w:p w:rsidR="00FE7429" w:rsidRPr="00B0643B" w:rsidRDefault="00FE7429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1"/>
          <w:szCs w:val="21"/>
        </w:rPr>
      </w:pPr>
    </w:p>
    <w:p w:rsidR="006D0B3C" w:rsidRDefault="006D0B3C" w:rsidP="00B0643B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П</w:t>
      </w:r>
      <w:r w:rsidR="004512F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лан</w:t>
      </w:r>
      <w:r w:rsidR="00570010" w:rsidRPr="00B0643B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</w:t>
      </w:r>
    </w:p>
    <w:p w:rsidR="006D0B3C" w:rsidRPr="001C2071" w:rsidRDefault="00570010" w:rsidP="006D0B3C">
      <w:pPr>
        <w:shd w:val="clear" w:color="auto" w:fill="FFFFFF" w:themeFill="background1"/>
        <w:spacing w:after="0" w:line="240" w:lineRule="auto"/>
        <w:contextualSpacing/>
        <w:jc w:val="center"/>
        <w:rPr>
          <w:rFonts w:eastAsia="Times New Roman" w:cs="Times New Roman"/>
          <w:sz w:val="28"/>
          <w:szCs w:val="28"/>
          <w:lang w:val="tg-Cyrl-TJ" w:eastAsia="ru-RU"/>
        </w:rPr>
      </w:pPr>
      <w:r w:rsidRPr="00B0643B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по реализации</w:t>
      </w:r>
      <w:r w:rsidRPr="00B0643B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 xml:space="preserve"> </w:t>
      </w:r>
      <w:r w:rsidR="006D0B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о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Среднесрочной программе действий по реализации Стратегии управления государственными финансами Республики Таджикистан на период до 2030 года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 xml:space="preserve"> на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202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>1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-202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>3</w:t>
      </w:r>
      <w:r w:rsidR="006D0B3C" w:rsidRPr="006D0B3C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годы</w:t>
      </w:r>
    </w:p>
    <w:p w:rsidR="00FE7429" w:rsidRPr="006D0B3C" w:rsidRDefault="00FE7429" w:rsidP="006D0B3C">
      <w:pPr>
        <w:spacing w:after="0" w:line="240" w:lineRule="auto"/>
        <w:jc w:val="center"/>
        <w:rPr>
          <w:rFonts w:ascii="Times New Roman Tj" w:hAnsi="Times New Roman Tj" w:cs="Times New Roman"/>
          <w:sz w:val="21"/>
          <w:szCs w:val="21"/>
          <w:lang w:val="tg-Cyrl-TJ"/>
        </w:rPr>
      </w:pPr>
    </w:p>
    <w:p w:rsidR="005202C3" w:rsidRPr="00B0643B" w:rsidRDefault="005202C3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1"/>
          <w:szCs w:val="21"/>
        </w:rPr>
      </w:pPr>
    </w:p>
    <w:p w:rsidR="00650488" w:rsidRPr="00B0643B" w:rsidRDefault="00650488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1"/>
          <w:szCs w:val="21"/>
        </w:rPr>
      </w:pPr>
    </w:p>
    <w:tbl>
      <w:tblPr>
        <w:tblStyle w:val="a4"/>
        <w:tblW w:w="15858" w:type="dxa"/>
        <w:tblInd w:w="-455" w:type="dxa"/>
        <w:tblLook w:val="04A0" w:firstRow="1" w:lastRow="0" w:firstColumn="1" w:lastColumn="0" w:noHBand="0" w:noVBand="1"/>
      </w:tblPr>
      <w:tblGrid>
        <w:gridCol w:w="847"/>
        <w:gridCol w:w="4652"/>
        <w:gridCol w:w="885"/>
        <w:gridCol w:w="2539"/>
        <w:gridCol w:w="61"/>
        <w:gridCol w:w="226"/>
        <w:gridCol w:w="2410"/>
        <w:gridCol w:w="286"/>
        <w:gridCol w:w="1512"/>
        <w:gridCol w:w="85"/>
        <w:gridCol w:w="9"/>
        <w:gridCol w:w="11"/>
        <w:gridCol w:w="26"/>
        <w:gridCol w:w="10"/>
        <w:gridCol w:w="2299"/>
      </w:tblGrid>
      <w:tr w:rsidR="00504EEC" w:rsidRPr="00B0643B" w:rsidTr="00592BDC">
        <w:tc>
          <w:tcPr>
            <w:tcW w:w="847" w:type="dxa"/>
            <w:shd w:val="clear" w:color="auto" w:fill="FFFFFF" w:themeFill="background1"/>
          </w:tcPr>
          <w:p w:rsidR="00504EEC" w:rsidRDefault="00504EEC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№</w:t>
            </w:r>
          </w:p>
          <w:p w:rsidR="00504EEC" w:rsidRPr="000F4403" w:rsidRDefault="00504EEC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п/н</w:t>
            </w:r>
          </w:p>
        </w:tc>
        <w:tc>
          <w:tcPr>
            <w:tcW w:w="15011" w:type="dxa"/>
            <w:gridSpan w:val="14"/>
            <w:shd w:val="clear" w:color="auto" w:fill="FFFFFF" w:themeFill="background1"/>
          </w:tcPr>
          <w:p w:rsidR="00504EEC" w:rsidRPr="00B0643B" w:rsidRDefault="00B1558C" w:rsidP="00B1558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Перечен</w:t>
            </w:r>
            <w:r>
              <w:rPr>
                <w:rFonts w:ascii="Times New Roman" w:hAnsi="Times New Roman" w:cs="Times New Roman"/>
                <w:sz w:val="21"/>
                <w:szCs w:val="21"/>
                <w:lang w:val="tg-Cyrl-TJ"/>
              </w:rPr>
              <w:t>ӣ мереоприятий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 xml:space="preserve"> </w:t>
            </w:r>
          </w:p>
        </w:tc>
      </w:tr>
      <w:tr w:rsidR="000F4403" w:rsidRPr="00B0643B" w:rsidTr="000F4403"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5011" w:type="dxa"/>
            <w:gridSpan w:val="14"/>
            <w:shd w:val="clear" w:color="auto" w:fill="FFFFFF" w:themeFill="background1"/>
          </w:tcPr>
          <w:p w:rsidR="000F4403" w:rsidRDefault="000F4403" w:rsidP="000F4403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0F4403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1.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УСТОЙЧИВОСТИ МАКРОФИСКАЛЬНЫХ РАМОК</w:t>
            </w:r>
          </w:p>
          <w:p w:rsidR="000F4403" w:rsidRPr="00B0643B" w:rsidRDefault="000F4403" w:rsidP="000F4403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Реформы в области стратегического планирования</w:t>
            </w:r>
          </w:p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1.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Укрепление институционального и технического потенциала ключевых государственных органов власти в области стратегического планирования и реформ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PI-15</w:t>
            </w:r>
          </w:p>
        </w:tc>
      </w:tr>
      <w:tr w:rsidR="000F4403" w:rsidRPr="00B0643B" w:rsidTr="00F941D6"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результативности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крепление технического и профессионального потенциала работников управления стратегического планирования и реформ Исполнительного аппарата Президента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Укреплён профессиональный и технический потенциал (знания, навыки, компетенции и обеспечение необходимым оборудованием) сотрудников управления стратегического планирования и реформ Исполнительного аппарата Президента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Укрепление процесса стратегического планирования и реформ в государственном секторе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9906CD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ИАП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роведение целевых обучающих мероприятий для сотрудников Министерства финансов Республики Таджикистан и Министерства экономического развития и торговли Республики Таджикистан, отвечающих за стратегическое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lastRenderedPageBreak/>
              <w:t>планирование и координацию реформ в сфере управления государственными финансами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lastRenderedPageBreak/>
              <w:t xml:space="preserve">Повышен потенциал (знания, навыки и компетенции) сотрудников Министерства финансов Республики Таджикистан и Министерства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lastRenderedPageBreak/>
              <w:t>экономического развития и торговли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A247D9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МЭРТ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lastRenderedPageBreak/>
              <w:t>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AE37B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Создание условий для эффективного функционирования Секретариата управления государственными финансами при Министерстве финансов Республики Таджикистан и его взаимодействия с Координационным Советом управления государственными финансами при Правительстве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Создан и успешно функционирует Секретариат управления государственными финансами при Министерстве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A247D9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rPr>
          <w:trHeight w:val="368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2. Внедрение новой методологии национального стратегического планирования в государственном секторе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PI-15</w:t>
            </w:r>
          </w:p>
        </w:tc>
      </w:tr>
      <w:tr w:rsidR="000F4403" w:rsidRPr="00B0643B" w:rsidTr="00F941D6"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8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внедрение нормативн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ых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правовых актов, регулирующих и укрепляющих процесс стратегического планирования в государственном секторе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Создана правовая база для стратегического планирования в государственном секторе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Органами государственной власти применяется единая методология стратегического планирования в государственном секторе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ИАП, МЭРТ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недрение механизма стратегического планирования среди главных распределителей бюджетных средств 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Внедрён механизм стратегического планирования среди главных распределителей бюджетных средств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МЭРТ</w:t>
            </w:r>
          </w:p>
        </w:tc>
      </w:tr>
      <w:tr w:rsidR="000F4403" w:rsidRPr="00B0643B" w:rsidTr="00F941D6">
        <w:trPr>
          <w:trHeight w:val="350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11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Совершенствование организационной структуры Министерства финансов Республики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PI-15</w:t>
            </w:r>
          </w:p>
        </w:tc>
      </w:tr>
      <w:tr w:rsidR="000F4403" w:rsidRPr="00B0643B" w:rsidTr="00F941D6"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12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13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функционального обзора Министерства финансов Республики Таджикистан как регулятора налогово-бюджетной политики (включая качество взаимодействия с другими органами государственной власти и т.п.) и предоставление рекомендаций в этом направлении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Проведен функциональный обзор Министерства финансов Республики Таджикистан и предоставлены рекомендации по улучшению налогово-бюджетной политики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F1344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Обеспечен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эффективн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деятельности, направленной на регулирование налогово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–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бюджетной политики Республики Таджикистан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к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омплексный анализ и обновление организационной структуры Министерства финансов, включая подведомственных ей структур, на основе проведённого функционального обзора и передовой международной практики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Организационная структура Министерства финансов Республики Таджикистан обновлена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ИАП, МЮ, АГС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15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§2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устойчивости макрофискальных рамок</w:t>
            </w:r>
          </w:p>
          <w:p w:rsidR="000F4403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16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. Анализ, адаптация и введение в действие соответствующих моделей макроэкономического прогнозирования в Министерстве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lastRenderedPageBreak/>
              <w:t>экономического развития и торговли Республики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lastRenderedPageBreak/>
              <w:t>Индикатор PI-14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lastRenderedPageBreak/>
              <w:t>17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18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изучение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мирового опыта и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разработка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постановления Правительства Республики Таджикистан «О механизме и порядке использования источников первичных данных для моделей макроэкономического прогнозирования в Министерстве экономического развития и торговли Республики Таджикистан»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Принято постановление Правительства Республики Таджикистан «О механизме и порядке использования источников первичных данных для моделей макроэкономического прогнозирования в Министерстве экономического развития и торговли Республики Таджикистан»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Улучшена практика прогнозирования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Министерства экономического развития и торговли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Дефицит государственного бюджета (включая программу государственных инвестиций, специальные средства и прочие источники) не превышает 1 процентов от валового внутреннего продукта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Разница между плановыми и фактическими показателями государственных расходов не превышает 10 процентов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МЭРТ, НБТ, МФ, АС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анализа системы прогнозирования и макроэкономического моделирования в Республике Таджикистан с привлечением партнеров по развитию и международных экспертов, совершенствование этого процесса, внедрение современных моделей и повышение квалификации кадров в этой области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Подготовлен аналитический документ о состоянии системы прогнозирования и макроэкономического моделирования в Республике Таджикистан, а также разработана система прогнозирования макроэкономических данных в Республике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МЭРТ, НБТ, МФ, НК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к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оординация и применение прогнозных моделей, разработанных государственными органами в процессе подготовки и формирования государственных доходов, государственного долга и макроэкономических показателей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F1344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Адаптирован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модел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прогнозирования государственных доходов, государственного долга и других макроэкономических показателей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МЭРТ,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21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роведение обучающих семинаров для представителей местных исполнительных органов государственной власти в области формирования прогноза социально-экономического развития, определение существующих потенциала и возможностей для развития и на этой основе обеспечение исполнения бюджетного плана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профессиональный потенциал (уровень профессионализма, навыки и компетенции) сотрудников Министерства экономического развития и торговли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22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5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Пересмотр задач и функций отдела макроэкономики и финансовой статистики главного управления государственного бюджета Министерства финансов Республики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 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комплексного анализа должностных обязанностей, задач и функций отдела макроэкономики и финансовой статистики главного управления государственного бюджета Министерства финансов Республики Таджикистан с целью совершенствования организационной структуры Министерства финансов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Перечень обязанностей и должностных задач сотрудников отдела макроэкономики и финансовой статистики главного управления государственного бюджета Министерства финансов Республики Таджикистан пересмотрен и обновлен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Должностные обязанности отдела макроэкономики и финансовой статистики главного управления государственного бюджета Министерства финансов Республики Таджикистан были пересмотрены 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ф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ормирование и предоставление рекомендаций по укреплению отдела макроэкономики и финансовой статистики главного управления государственного бюджета Министерства финансов Республики Таджикистан на основании анализа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азработаны 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екомендации по укреплению отдела макроэкономики и финансовой статистики главного управления государственного бюджета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овышение потенциала и реорганизация 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тдела макроэкономики и финансовой статистики главного управления государственного бюджета Министерства финансов Республики Таджикистан на основе сформированных рекомендаций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F1344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Реализ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уется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процесс реорганизации и улучшения потенциала отдела макроэкономики и финансовой статистики главного управления государственного бюджета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27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Pr="00B0643B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6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Улучшение макрофискального моделирования и прогнозирования на основе достоверных эмпирических методов и инструментов, включая анализ чувствительности, с целью улучшения точности рассчитываемых макрофискальных индикаторов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28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ф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ормулирование рекомендаций по улучшению системы макрофискального моделирования и прогнозирования в рамках рабочей группы по макроэкономике (совместно с Министерством экономического развития и торговли Республики Таджикистан, Национальным банком Таджикистана и Агентством по статистике при Президенте Республики Таджикистан)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Рекомендации по улучшению макрофискального моделирования и прогнозирования в Республике Таджикистан сформулированы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Усилена практика прогнозирования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Министерством экономического развития и торговли Республики Таджикистан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и повышено качество макрофискальной рамки разрабатываемый Министерством финансов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.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МЭРТ, НБТ, МФ, АС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30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даптация и полноценное внедрение в Министерстве экономического развития и торговли Республики Таджикистан модели макроэкономических финансовых потоков и модели производства и торговли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Модель макроэкономических финансовых потоков и модель производства и торговли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даптирован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 и внедрена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МЭРТ</w:t>
            </w:r>
          </w:p>
        </w:tc>
      </w:tr>
      <w:tr w:rsidR="000F4403" w:rsidRPr="009C7519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31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</w:t>
            </w: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3 Меры в области прогнозирования государственных доходов</w:t>
            </w:r>
          </w:p>
          <w:p w:rsidR="000F4403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9C7519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32</w:t>
            </w:r>
          </w:p>
        </w:tc>
        <w:tc>
          <w:tcPr>
            <w:tcW w:w="12676" w:type="dxa"/>
            <w:gridSpan w:val="11"/>
            <w:shd w:val="clear" w:color="auto" w:fill="FFFFFF" w:themeFill="background1"/>
          </w:tcPr>
          <w:p w:rsidR="000F4403" w:rsidRPr="009C7519" w:rsidRDefault="000F4403" w:rsidP="00FC44F0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7</w:t>
            </w: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>. Внедрение новой модели прогнозирования доходов и использование методов эмпирического прогнозирования при оценке государственных доходов в Министерстве финансов Республики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Индикатор PI-14</w:t>
            </w:r>
          </w:p>
        </w:tc>
      </w:tr>
      <w:tr w:rsidR="000F4403" w:rsidRPr="009C7519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ответственных сотрудников управления прогнозирования и анализа налоговых и неналоговых поступлений Министерства финансов Республики Таджикистан новым методам прогнозирования государственных доходов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управления прогнозирования и анализа налоговых и неналоговых поступлений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Улучшено качество формирования прогноза государственных доходов в Министерстве финансов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Разница между плановыми и фактическими показателями государственных доходов не превышает 10 процентов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Налоговые поступления составляют как минимум 30 процентов от валового внутреннего продукта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A247D9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даптация и полноценное внедрение в Министерстве финансов Республики Таджикистан современной модели прогнозирования государственных доходов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 Министерстве финансов Республики Таджикистан внедрена современная модель прогнозирования государственных доходов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г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армонизация среднесрочной макрофискальной рамки разрабатываемый Министерством финансов Республики Таджикистан с прогнозированием доходов в соответствии с новой моделью и новыми методами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Обновл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на и расширен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среднесрочная макрофискальная рамка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50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8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Обеспечение тесной взаимосвязи между моделью прогнозирования доходов и общей макрофискальной рамкой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38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39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среднесрочной макрофискальной рамки Министерства финансов Республики Таджикистан на основе данных модели прогнозирования государственных доходов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74703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Обновлен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 и расшире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среднесрочн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макрофискальн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рамк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лучшен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 качество прогнозирования доходов в Министерстве финансов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Разница между плановыми и фактическими показателями государственных доходов не превышает 10 процентов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Налоговые поступления составляют как минимум 30 процентов от валового внутреннего продукта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асширение информативности и прозрачности информации о среднесрочной макрофискальной рамке Министерства финансов Республики Таджикистан (т.е. её публикация на вебсайте Министерства финансов Республики Таджикистан)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бновл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енная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среднесрочн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макро-фискальн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рамк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 размещена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на официальном вебсайте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22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41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2.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ПЛАНИРОВАНИЮ ГСУДАРСТВЕННЫХ РАСХОДОВ</w:t>
            </w: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§4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управлению государственным долгом</w:t>
            </w: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22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42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AE37B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9.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Улучшение мониторинга, управления рисками, оценки и отчётности в сфере управления государственным долгом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крепление электронной системы мониторинга государственного долга и отслеживания основных тенденций, включая отчётность по результатам мониторинга и анализа данных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Э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лектронная система мониторинга государственного долга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усовершенствована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Улучшена система управления государственным долгом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Государственный </w:t>
            </w:r>
            <w:r w:rsidRPr="00B0643B">
              <w:rPr>
                <w:rFonts w:ascii="Times New Roman Tj" w:hAnsi="Times New Roman Tj" w:cs="Times New Roman"/>
                <w:strike/>
                <w:sz w:val="21"/>
                <w:szCs w:val="21"/>
              </w:rPr>
              <w:t xml:space="preserve">долг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не превышает 60 процентов от валового внутреннего продукта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Обслуживание внешнего долга (выплаты процентов и основного долга) не превышает 15 процентов от налоговых поступлений государственного бюджета 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НБТ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азмещение информации о государственном долге на вебсайте Министерства финансов Республики Таджикистан и в основных документах для общественности (таких как, например, гражданский бюджет)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Информация о государственном долге размещена на официальном вебсайте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бновление системы управления рисками в сфере управления государственным долгом, в частности оценки рисков новых заимствований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Система управления рисками (в том числе оценки рисков) в сфере управления государственным долгом обновлена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B0643B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47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предложений и рекомендаций по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внесению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изменени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й 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нормативн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ые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правовы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 акты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 сфере управления государственным долгом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Рекомендации по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внесению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изменению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нормативн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ые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правовы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 акты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 сфере государственного долга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разработаны</w:t>
            </w:r>
          </w:p>
        </w:tc>
        <w:tc>
          <w:tcPr>
            <w:tcW w:w="2697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48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10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Модернизация информационной системы управления государственным долгом в Министерстве финансов Республики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49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оценки информационной системы управления государственным долгом в Министерстве финансов Республики Таджикистан и предоставление рекомендаций по ее совершенствованию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74703D">
            <w:pPr>
              <w:shd w:val="clear" w:color="auto" w:fill="FFFFFF" w:themeFill="background1"/>
              <w:ind w:left="-100" w:right="-163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Оценка информационной системы управления государственным долгом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 проведена и представлены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рекомендации по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совершенствованию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Улучшена система управления государственным долгом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Государственный и гарантированный государством долг не превышает 60 процентов от валового внутреннего продукта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Обслуживание внешнего долга (выплаты процентов и основного долга) не превышает 15 процентов от налоговых поступлений государственного бюджета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51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недрение современной информационной системы управления государственным долгом в Министерстве финансов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F10A2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нформационн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ая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систем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управления государственным долгом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недрен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52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сотрудников главного управления государственного долга и привлечения государственных инвестиций Министерства финансов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Повышен потенциал (знания, навыки и компетенции) сотрудников главного управления государственного долга и привлечения государственных инвестиций Министерства финансов Республики Таджикистан 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53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Анализ кредиторской задолженности крупных государственных предприятий и представление предложений в Правительство Республики Таджикистан по их погашению или реструктуризации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54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187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ассмотрение состояния кредиторской задолженности крупных государственных предприятий Министерством финансов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Всестороннее рассмотрение и анализирование задолженности крупных государственных предприятий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Государственный и гарантированный государством долг не превышает 60 процентов от валового внутреннего продукта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Обслуживание внешнего долга (выплаты процентов и основного долга) не превышает 15 процентов от налоговых поступлений государственного бюджета 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КГП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ф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ормирование и представление рекомендаций в Правительство Республики Таджикистан по состоянию задолженности крупных государственных предприятий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F10A2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екомендаций по устранению кредиторской задолженности крупных государственных предприятий предоставлен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 Правительство Республики Таджикистан 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КГП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§5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реализации среднесрочной программы государственных расходов в Республике Таджикистан</w:t>
            </w:r>
          </w:p>
          <w:p w:rsidR="000F4403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58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Обеспечение доступа к информационной системе управления государственными финансами для отраслевых министерств (т.е. главных распределителей бюджетных средств)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PI-16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59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редоставление удалённого ограниченного доступа к информационной системе управления государствеными финансами для главных распределителей бюджетных средств (включая все отраслевые министерства) в режиме реального времени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Обеспечен удалённый (т.е. дистанционный) доступ к информационной системе управления государствеными финансами для главных распределителей бюджетных средств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Лучшая увязка главных распределителей бюджетных средств с подходом среднесрочной программы государственных расходов в Республике Таджикистан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9C7519" w:rsidTr="00F941D6">
        <w:tblPrEx>
          <w:shd w:val="clear" w:color="auto" w:fill="FFFFFF" w:themeFill="background1"/>
        </w:tblPrEx>
        <w:trPr>
          <w:trHeight w:val="155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61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9C7519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ответственных сотрудников главных распределителей бюджетных средств (включая всех отраслевых министерств) использованию информационной системы управления государственным долгом и просмотру данных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9C7519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ответственных сотрудников (знания, навыки и компетенции) сотрудников главных распределителей бюджетных средств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9C7519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9C7519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9C7519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62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Оптимизация количества главных распределителей бюджетных средств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PI-16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пределение количества главных распределителей бюджетных средств в государственном секторе и представление рекомендаций в Правительство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Краткая информация и рекомендации по оптимизации главных распределителей бюджетных средств представлены в Правительство Республики Таджикистан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Сокращение общего количества главных распределителей бюджетных средств до 50 процентов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Лучшая увязка главных распределителей бюджетных средств с подходом среднесрочной программы государственных расходов в Республике Таджикистан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693346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МФ, ИАП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количественного и качественного анализа воздействия (т.е. последствий) в результате сокращения общего количества главных распределителей бюджетных средств в государственном секторе и представление результатов анализа в Правительство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Детальный анализ последствий от оптимизации главных распределителей бюджетных средств представлен в Правительство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ИАП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проекта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остановления Правительства Республики Таджикистан о сокращении (т.е. оптимизации) общего количества главных распределителей бюджетных средств в государственном секторе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Проект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остановления Правительства Республики Таджикистан о сокращении главных распределителей бюджетных средств в государственном секторе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разработан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ИАП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67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Обеспеч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ение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эффективно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го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 полноценно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го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внедрени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среднесрочной программы государственных расходов в Республике Таджикистан в Республике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PI-16, PI-17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68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69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озложение на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главных распределителей бюджетных средств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дополнительной функции по сбору и консолидации бюджетов по своему сектору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Дополнительная функция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возложена на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главных распределителей бюджетных средств, которые формируют политику своего сектора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Возможность более эффективной выработки политики, а также более эффективный контроль и проверка отраслевых бюджетов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Лучшая увязка главных распределителей бюджетных средств с подходом среднесрочной программы государственных расходов в Республике Таджикистан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ИАП, ПРТ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с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огласование проектов бюджетов местных исполнительных органов государственной власти по пилотным отраслям с соответствующими уполномоченными главными распределител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ями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бюджетных средств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Бюджетные заявки высылаются уполномоченным главным распределител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ям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бюджетных средств, а не только Министерству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ПРТ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71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разработка в новой редакции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бюджетных инструкций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 xml:space="preserve"> связан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ых с разработкой проекта государственного бюджета (по 1-ой и 2-ой фазе) в соответствии с требованиями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среднесрочной программы государственных расходов в Республике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Б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юджетные инструкции по 1-ой и 2-ой фазе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рассмотрены и обновлены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2021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7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ересмотр сроков предоставления ГРБС бюджетных заявок с целью предоставления достаточного времени для подготовки своих бюджетных заявок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Б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юджетный календарь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рассмотрен и обновлен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73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5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бновление «Основные направления финансово-бюджетной и налоговой политики на предстоящий период бюджетного планирования» (публикуемой в конце 1-ой фазы бюджетного цикла) с учётом информации о фискальных целях, национальных приоритетах и оценке финансовых рисков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E354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«Основные направления финансово-бюджетной и налоговой политики на предстоящий период бюджетного планирования»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бновл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ны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6)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пределение Министерством финансов Республики Таджикистан чётких и утверждённых процедур перехода от потолков по секторам (1-ая фаза) к потолкам по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главн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ым распредетелям бюджетных средств (2-ая фаза) в рамках бюджетного процесса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Процедуры перехода от потолков 1-ой фазы к потолкам 2-ой фазы в процессе формирования государственного бюджета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определены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9906CD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7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егулярное проведение обучающих занятий ответственным сотрудникам главных распределителей бюджетных средств с целью ознакомления методологии среднесрочной программы государственных расходов в Республике Таджикистан в процессе формирования государственного бюджета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главных распределителей бюджетных средств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8)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рекомендаций по изменению нормативно-правовой базы для более эффективного и полноценного внедрения среднесрочной программы государственных расходов в Республике Таджикистан в Республике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Рекомендации и предложения по внесению поправок в законодательство об управлении государственными фннансами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разработаны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77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15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Рассмотрение нового модуля среднесрочной программы государственных расходов в Республике Таджикистан и бюджетирования капитальных (инвестиционных) расходов в информационной системе управления государственными финансами и его применение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PI-11, PI-16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47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78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79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даптация и полноценное внедрение модуля среднесрочной программы государственных расходов в Республике Таджикистан в информационной системе управления государственными финансами Министерства финансов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Модуль среднесрочной программы государственных расходов в Республике Таджикистан в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недрен 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информационной системе управления государственными финансами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Национальных и отраслевых приоритетов отражены в государственных расходах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Текущие и инвестиционные бюджеты (включая программу государственных инвестиций) полностью интегрированы друг с другом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даптация и полноценное внедрение модуля инвестиционного бюджетирования (т.е. бюджетирования капитальных расходов) в информационной системе управления государственными финансами Министерства финансов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362B7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Модуль инвестиционного бюджетирования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внедрен и используется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A247D9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81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16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Полноценная интеграция инвестиционных расходов в совокупный государственный бюджет и в среднесрочную программу государственных расходов в Республике Таджикистан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PI-11, PI-16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22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82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83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анализа и разработка рекомендаций по интеграции процессов формирования текущих и капитальных бюджетов организаций государственного сектора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Анализ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проведен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 рекомендации по интеграции текущих и капитальных бюджетов (в том числе на этапе их формирования)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разработаны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Текущие и инвестиционные бюджеты (включая программу государственных инвестиций) полностью интегрированы друг с другом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системы единой отчётности текущих расходов, капитальных расходов и программы государственных инвестиций (ПГИ)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362B7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азработана единая система отчётности государственных расходов (в том числе капитальные расходы программы государственных инвестиций)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AE37B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к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омплексный анализ программы государственных инвестиций и определение доли текущих расходов по каждому инвестиционному проекту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роведен анализ и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разработаны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рекомендации по программе государственных инвестиций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8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6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AE37B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пПредставление макро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фискальной рамки Министерства финансов Республики Таджикистан с разбивкой на программы государственных инвестиций по отраслям на среднесрочную перспективу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Макро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фискальная рамка расширена и включает разбивку программу государственных инвестиций по отраслям и годам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§6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программному бюджетированию</w:t>
            </w:r>
          </w:p>
          <w:p w:rsidR="000F4403" w:rsidRDefault="000F4403" w:rsidP="00031CE2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88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031CE2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17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Разработка и использование программной классификации для всего бюджетного сектора (всех отраслей)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PI-8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89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90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программной классификации для всего бюджетного сектора (или пилотных отраслей)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Программная бюджетная классификация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разработана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для всех пилотных отраслей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Главные распределители бюджетных средств полностью контролируют свои бюджеты и используют программную классификацию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031CE2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031CE2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91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программной классификации (для всего бюджетного сектора или пилотных отраслей) Министерством финансов Республики Таджикистан и её полноценное внедрение в процесс формирования государственного бюджета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Программная бюджетная классификация утверждена и внедрена в бюджетный процесс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031CE2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031CE2"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92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18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Оказание постоянной консультативной поддержки главным распределителям бюджетных средств при разработке стратегических планов и программ на основе лучшей международной практики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PI-8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93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83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55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роведение постоянных обучающих занятий для ответственных сотрудников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главных распределителей бюджетных средств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 разработке стратегических планов и программ в целях реализации программного бюджетирования в государственном секторе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Повышен потенциал (знания, навыки и компетенции) сотрудников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главных распределители бюджетных средств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475868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Улучшено взаимодействие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главных распределителей бюджетных средств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по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среднесрочной программ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государственных расходов в Республике Таджикистан</w:t>
            </w: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стратегических планов (или стратегий) и программ со стороны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главных распределителей бюджетных средств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 их увязка с бюджетными заявками в рамках процесса формирования государственного бюджета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Стратегические планы и программы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главных распределителей бюджетных средств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увязаны с их бюджетными заявками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1883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55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96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§7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фискальной децентрализация</w:t>
            </w:r>
          </w:p>
          <w:p w:rsidR="000F4403" w:rsidRPr="00B0643B" w:rsidRDefault="000F4403" w:rsidP="00031CE2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97</w:t>
            </w:r>
          </w:p>
        </w:tc>
        <w:tc>
          <w:tcPr>
            <w:tcW w:w="12676" w:type="dxa"/>
            <w:gridSpan w:val="11"/>
            <w:shd w:val="clear" w:color="auto" w:fill="FFFFFF" w:themeFill="background1"/>
            <w:vAlign w:val="center"/>
          </w:tcPr>
          <w:p w:rsidR="000F4403" w:rsidRPr="00B0643B" w:rsidRDefault="000F4403" w:rsidP="00031CE2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9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Повышение осведомлённости исполнительных органов государственной власти о преимуществах стабильных и прозрачных межбюджетных отношений</w:t>
            </w:r>
          </w:p>
        </w:tc>
        <w:tc>
          <w:tcPr>
            <w:tcW w:w="2335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600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3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939" w:type="dxa"/>
            <w:gridSpan w:val="7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299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99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 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роведение квалификационных семинаров по тематике «Совершенствование межбюджетных отношений» для представителей министерств и ведомств Республики Таджикистан, а также для представителей местных исполнительных органов государственной власти</w:t>
            </w:r>
          </w:p>
        </w:tc>
        <w:tc>
          <w:tcPr>
            <w:tcW w:w="2600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министерств и ведомств государственного сектора, а также местных исполнительных органов государственной власти</w:t>
            </w:r>
          </w:p>
        </w:tc>
        <w:tc>
          <w:tcPr>
            <w:tcW w:w="263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Лучшая осведомлённость работников государственного сектора о преимуществах и необходимости реализации реформы фискальной децентрализации (или межбюджетных отношений)</w:t>
            </w:r>
          </w:p>
        </w:tc>
        <w:tc>
          <w:tcPr>
            <w:tcW w:w="1939" w:type="dxa"/>
            <w:gridSpan w:val="7"/>
            <w:shd w:val="clear" w:color="auto" w:fill="FFFFFF" w:themeFill="background1"/>
          </w:tcPr>
          <w:p w:rsidR="000F4403" w:rsidRPr="00B0643B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</w:p>
        </w:tc>
        <w:tc>
          <w:tcPr>
            <w:tcW w:w="2299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МФ, Межведомственная рабочая группа по вопросам межбюджетных отношений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100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Внесение поправок в действующее законодательство, направленных на разграничение полномочий между уровнями бюджетной системы и закрепления на долгосрочной основе доходных источников местных органов государственной власти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101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102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нализ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законодательства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,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по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разграничени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ю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полномочий между уровнями бюджетной системы и закрепления на долгосрочной основе доходных источников местных органов государственной власти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.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В рамках данного анализа разработка проекта Закона Республики Таджикистан «О внесении изменений и дополнений в Закон Республики Таджикистан «О государственных финансах», касающиеся источников доходов и расходных полномочий местных исполнительных органов государственной власти и органов местного самоуправления посёлков и сёл на среднесрочной и долгосрочной основе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Установлены нормативы зачисления общегосударственных налогов в бюджеты местных исполнительных органов государственной власти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Проект поправок в Закон Республики Таджикистан «О государственных финансах», касающихся установления доходных источников и расходных полномочий местных исполнительных органов государственной власти и органов местного самоуправления посёлков и сёл на среднесрочной и долгосрочной основе представлены в Исполнительный аппарат Президента Республики Таджикистан и Маджлиси Оли Республики Таджикистан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МФ, Межведомственная рабочая группа по вопросам межбюджетных отношений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103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становление на 3 года нормативов зачисления общегосударственных налогов в бюджеты местных исполнительных органов государственной власти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Нормативы зачисления общегосударственных налогов в бюджеты местных исполнительных органов государственной власти установлены на 3 года в Соглашениях между Министерством финансов Республики Таджикистан и местными исполнительными органами государственной власти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Нормативы зачисления общегосударственных налогов в местные бюджеты утверждены на трёхлетний период для всех местных исполнительных органов государственной власти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2023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МФ, Межведомственная рабочая группа по вопросам межбюджетных отношений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104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Укрепление кадрового потенциала отдела межбюджетных отношений главного управления государственного бюджета Министерства финансов Республики Таджикистан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105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106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овышение квалификаци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сотрудников отдела межбюджетных отношений главного управления государственного бюджета Министерства финансов Республики Таджикистан для разработки и внедрения методики расчёта межбюджетных трансфертов бюджетам местных исполнительных органов государственной власти с использованием современных программ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475868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Обеспечен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участи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сотрудников отдела межбюджетных отношений главного управления государственного бюджета Министерства финансов Республики Таджикистан в курсах повышения квалификации, стажировках и тренингах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Сотрудники отдела межбюджетных отношений повысили свою квалификацию и обладают достаточными навыками для разработки и внедрения методики расчёта межбюджетных трансфертов местным бюджетам на основе современных методов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946A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МФ, Межведомственная рабочая группа по вопросам межбюджетных отношений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107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Разработка и внедрение методики расчёта межбюджетных трансфертов местным бюджетам использую современные программы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108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109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азработка методики оценки нормативных расходных потребностей местных бюджетов в целях расчёта размера выравнивающих трансфертов бюджетам местных исполнительных органов государственной власти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Методика оценки нормативных расходных потребностей местных бюджетов в целях расчёта размера выравнивающих трансфертов местным бюджетам утверждена на уровне Министерства финансов Республики Таджикистан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475868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Методика оценки нормативных расходных потребностей местных бюджетов в целях расчёта размеравыравнивающих трансфертов местным бюджетам используется при формировании бюджета на 2022 год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МФ, Межведомственная рабочая группа по вопросам межбюджетных отношений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81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110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3.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ИСПОЛНЕНИЮ БЮДЖЕТА И ГОСУДРАСТВЕННЫХ ДОХЛДОВ</w:t>
            </w: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§8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администрированию доходов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81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111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Разработка Налогового кодекса Республики Таджикистан в новой редакции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112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Налогового кодекса Республики Таджикистан в новой редакции и его обсуждение со всеми заинтересованными сторонами (представителями частного сектора и т.п.)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Налоговый кодекс Республики Таджикистан в новой редакции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разработан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Усиление предсказуемости и стабильности налогово-бюджетной системы Республики Таджикистан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9906CD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ринятие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Налогового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к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одекса Республики Таджикистан в новой редакции 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Налоговый кодекс Республики Таджикистан в новой редакции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принят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D3961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0F4403" w:rsidRDefault="000F4403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347CBC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азработка подзаконных актов, вытекающих из Налогового кодекса Республики Таджикистан, и контроль за эффективным осуществлением управления доходами государственного бюджета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Подзаконные акты, способствующие реализации Налогового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к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одекса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Республики Таджикистан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в новой редакции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, разработаны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116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Разработка и реализация среднесрочной программы государственных доходов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Республики Таджикистан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117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среднесрочной программы государственных доходов Республики Таджикистан и её широкое обсуждение со всеми заинтересованными сторонами (представителями частного сектора и т.п.)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Была разработана среднесрочная программа государственных доходов Республики Таджикистан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Усиление стратегического планирования и реформ в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управлении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доходов государственного бюджета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Повышение эффективности государственного управления в сфере администрирования доходов государственного бюджета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119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равительств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Республики Таджикистан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тверд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ило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среднесрочн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ую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программ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государственных доходов 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Среднесрочная программа государственных доходов Республики Таджикистан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утверждена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еализация среднесрочной программы государственных доходов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Среднесрочная программа государственных доходов Республики Таджикистан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реализуется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МФ, другие органы гос власти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121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25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.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нтеграция системы управления рисками с интегрированной системой налогового управления в Налоговом комитете при Правительстве Республики Таджикистан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122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редусмотрение Налоговым комитетов при Правительстве Республики Таджикистан прямых и косвенных методов управления рисками в процесе разработки Налогового кодекса Республики Таджикистан в новой редакции 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475868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Законодательная база (налоговое законодательство) пересмотрена для внедрения прямых и косвенных методов управления рисками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Повышение эффективности государственного управления, в том числе дисциплины и подотчётности, в сфере администрирования доходов государственного бюджета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Административные издержки Налогового комитета при Правительстве Республики Таджикистан при сборе государственных доходов сокращены на 30 процентов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862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редусмотрение конкретных норм по порядку определения налоговых обязательств с использованием методов оценки прямых и косвенных или рыночных цен в рамках управления рисками в процессе разработки проекта Налогового кодекса Республики Таджикистан в новой редакции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475868">
            <w:pPr>
              <w:jc w:val="both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Законодательная база (налоговое законодательство)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была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изменена для внедрения прямых и косвенных методов управления рисками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9906CD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17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3)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ответственных сотрудников Налогового комитета при Правительстве Республики Таджикистан по методам определения рисков и их анализа, а также проведении аудитов и проверок на основе выявленных рисков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Налогового комитета при Правительстве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27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беспечение интеграции модуля управления рисками с системой налогового управления в Налоговом комитете при Правительстве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Внедрен интегрированный модуль управления рисками в системе налогового управления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127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26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Сокращение затрат на соблюдение государственного регулирования в сфере налогового администрирования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PI-19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128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pStyle w:val="a3"/>
              <w:shd w:val="clear" w:color="auto" w:fill="FFFFFF" w:themeFill="background1"/>
              <w:ind w:left="0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129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pStyle w:val="a3"/>
              <w:shd w:val="clear" w:color="auto" w:fill="FFFFFF" w:themeFill="background1"/>
              <w:ind w:left="0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соответствии с нормами и требованиями Налогового кодекса Республики Таджикистан в новой редакции принять меры по увеличению электронных форм налоговых услуг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Законодательство в сфере налогообложения, предусматривающее внедрение дополнительных электронных услуг для налогоплательщиков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, разработано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Как минимум 80 процентов налоговых деклараций (подоходный налог, налог на добавленную стоимость) предоставляются субъектами Республики Таджикистан в Налоговый комитет при Правительстве Республики Таджикистан в электронной форме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Административные издержки Налогового комитета при Правительстве Республики Таджикистан при сборе государственных доходов сокращены на 30 процентов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130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внутренних положений (правил, процедур, инструкций и т. д.)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 использованию электронных услуг Налогового комитета при Правительстве Республики Таджикистан в рамках положений Налогового кодекса в новой редакции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475868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Подзаконные акты в сфере налогообложения, предусматривающие внедрение дополнительных электронных услуг для налогоплательщиков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, разработаны и утверждены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НК,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увеличение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Налоговы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комитетом при Правительстве Республики Таджикистан в рамках технических требований к информационным системам перечн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я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электронных услуг для налогоплательщиков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Предусмотре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 и внедрено не менее трёх новых электронных услуг для налогоплательщиков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рассмотре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ние и утверждение дополнительных электронных услуг для налогоплательщиков, внедрение которых будет предусмотрено Налоговым комитетом при Правительстве Республики Таджикистан в среднесрочной перспективе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Список дополнительных электронных услуг для налогоплательщиков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составлен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НК, МФ </w:t>
            </w:r>
          </w:p>
        </w:tc>
      </w:tr>
      <w:tr w:rsidR="000F4403" w:rsidRPr="00B313A2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133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§9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реформ по управлению казначейством</w:t>
            </w:r>
          </w:p>
          <w:p w:rsidR="000F4403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AE2EC8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134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27.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Введение в действие модулей 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1A0276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 PI</w:t>
            </w:r>
            <w:r w:rsidRPr="001A0276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-21,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>PI</w:t>
            </w:r>
            <w:r w:rsidRPr="001A0276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-22,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>PI</w:t>
            </w:r>
            <w:r w:rsidRPr="001A0276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-23,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>PI</w:t>
            </w:r>
            <w:r w:rsidRPr="001A0276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-25,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>PI</w:t>
            </w:r>
            <w:r w:rsidRPr="001A0276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>-27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135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пилотирование новых модулей 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Проведено «пилотирование» новых модулей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Контроль за обязательствами расширен со стороны казначейства на все субъекты сектора государственного управления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Прогноз наличности в соответствии с единым казначейским счетом расширен до 50 процентов всего государственного сектора (т.е всех бюджетных организаций)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утверждение подзаконных актов (инструкций, распоряжений, положений и т.п.), регулирующих использование новых модулей 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Подзаконные акты, регулирующие использование новых модулей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, разработаны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07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138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спользование модулей 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Введение в действие модулей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системы управления государственными финансами по управлению денежными средствами, управлению обязательствами и управлению активами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07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pStyle w:val="ab"/>
              <w:jc w:val="center"/>
              <w:rPr>
                <w:rFonts w:ascii="Times New Roman Tj" w:hAnsi="Times New Roman Tj"/>
                <w:sz w:val="21"/>
                <w:szCs w:val="21"/>
                <w:lang w:val="tg-Cyrl-TJ" w:eastAsia="ru-RU"/>
              </w:rPr>
            </w:pPr>
            <w:r>
              <w:rPr>
                <w:rFonts w:ascii="Times New Roman Tj" w:hAnsi="Times New Roman Tj"/>
                <w:sz w:val="21"/>
                <w:szCs w:val="21"/>
                <w:lang w:val="tg-Cyrl-TJ" w:eastAsia="ru-RU"/>
              </w:rPr>
              <w:t>139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pStyle w:val="ab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4)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с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>оздание автоматизированной (электронной) системы платежных документов по казначейским операциям без доставки бумажной формы с учетом подготовки информационных систем соответствующих государственных органов, в том числе Агентства государственных закупок товаров, работ и услуг при Правительстве Республики Таджикистан, Агентства государственной службы при Президенте Таджикистана. Налогов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ого комитета 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>при Правительстве Республики Таджикистан и други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х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 соответствующи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х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 государственны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х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 орган</w:t>
            </w:r>
            <w:r>
              <w:rPr>
                <w:rFonts w:ascii="Times New Roman Tj" w:hAnsi="Times New Roman Tj"/>
                <w:sz w:val="21"/>
                <w:szCs w:val="21"/>
                <w:lang w:eastAsia="ru-RU"/>
              </w:rPr>
              <w:t>ов</w:t>
            </w:r>
            <w:r w:rsidRPr="005A20DF">
              <w:rPr>
                <w:rFonts w:ascii="Times New Roman Tj" w:hAnsi="Times New Roman Tj"/>
                <w:sz w:val="21"/>
                <w:szCs w:val="21"/>
                <w:lang w:eastAsia="ru-RU"/>
              </w:rPr>
              <w:t xml:space="preserve"> для подключения к информационной системе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9A578F" w:rsidRDefault="000F4403" w:rsidP="009A578F">
            <w:pPr>
              <w:pStyle w:val="ab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9A578F">
              <w:rPr>
                <w:rFonts w:ascii="Times New Roman Tj" w:hAnsi="Times New Roman Tj"/>
                <w:sz w:val="21"/>
                <w:szCs w:val="21"/>
              </w:rPr>
              <w:t xml:space="preserve">Обеспечен электронный документооборот организаций и предприятий, финансируемых через систему центрального казначейства </w:t>
            </w:r>
            <w:r w:rsidRPr="009A578F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Министерства финансов 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5A20DF" w:rsidRDefault="000F4403" w:rsidP="005A20DF">
            <w:pPr>
              <w:pStyle w:val="ab"/>
              <w:rPr>
                <w:rFonts w:ascii="Times New Roman Tj" w:hAnsi="Times New Roman Tj"/>
                <w:sz w:val="21"/>
                <w:szCs w:val="21"/>
              </w:rPr>
            </w:pPr>
            <w:r w:rsidRPr="005A20DF">
              <w:rPr>
                <w:rFonts w:ascii="Times New Roman Tj" w:hAnsi="Times New Roman Tj"/>
                <w:sz w:val="21"/>
                <w:szCs w:val="21"/>
              </w:rPr>
              <w:t>Казначейские операции будут упрощены и станут более прозрачными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5A20D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5A20D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AE2EC8" w:rsidTr="00F941D6">
        <w:tblPrEx>
          <w:shd w:val="clear" w:color="auto" w:fill="FFFFFF" w:themeFill="background1"/>
        </w:tblPrEx>
        <w:trPr>
          <w:trHeight w:val="440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140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8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Усиление системы контроля за обязательствами, а также управления и прогнозов денежных средств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 PI-21, PI-22, PI-23, PI-25, PI-27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141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265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142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1) 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нтеграция модуля управления обязательствами с информационной системой Агентства по государственным закупкам товаров, работ и услуг при Правительстве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8866A2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Создан электронн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ый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реестр контрактов 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системе управления государственными финансами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Контроль за обязательствами расширен со стороны казначейства на все субъекты сектора государственного управления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АГЗТРУ</w:t>
            </w:r>
          </w:p>
        </w:tc>
      </w:tr>
      <w:tr w:rsidR="000F4403" w:rsidRPr="00AE2EC8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143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29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Подготовка данных о суммах, сроках и структуре задолженности по расходам на ежеквартальной основе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 PI-21, PI-22, PI-23, PI-25, PI-27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144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обсуждение формата отчётности о суммах, сроках и структуре задолженности по расходам на ежеквартальной основе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8866A2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Разработа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формат отчётности о суммах, сроках и структуре задолженности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Контроль над обязанностями казначейства был распространен на все субъекты сектора государственного управления 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Прогноз денежных средств был расширен до 50 процентов всего государственного сектора (например, всех бюджетных организаций согласно единому казначейскому счету)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ответственных сотрудников Министерства финансов Республики Таджикистан по подготовке данных о суммах, сроках и структуре задолженности по расходам на ежеквартальной основе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Министерства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07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Министерством финансов Республики Таджикистан формата отчётности о суммах, сроках и структуре задолженности по расходам на ежеквартальной основе, и его применение на практике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8866A2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Утверждённ формат отчётности о суммах, сроках и структуре задолженности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</w:t>
            </w:r>
          </w:p>
        </w:tc>
      </w:tr>
      <w:tr w:rsidR="000F4403" w:rsidRPr="00AE2EC8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148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8F3ACE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30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Дорожная карта применения международных стандартов бухгалтерского учёта в государственном секторе на 2020-2025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гг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en-US"/>
              </w:rPr>
              <w:t xml:space="preserve"> PI-21, PI-22, PI-23, PI-25, PI-27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149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347CBC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одготовка пробной финансовой отчетности за 20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гг на основе кассово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го метода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5D6918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Пилотный финансовый отчет за 2021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 xml:space="preserve">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гг был подготовлен на основе кассового метода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Эффективное стратегическое планирование казначейской реформы и учета в государственном секторе в среднесрочной перспективе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дополнительных стандартов финансовой отчетности государственного сектора для реализации на третьем и четвертом этапах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Были разработаны дополнительные стандарты финансовой отчетности для государственного сектора 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645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утверждение шаблона учетной политики в государственном секторе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Шаблон учетной политики государственного сектора разработан и утвержден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необходимиых интерфейсов (форм) финансовой отчетности и сопровождение в информационной системе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Необходимые интерфейсы финансовой и вспомогательной отчетности были разработаны 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системе управления государственными финансами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577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5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утверждение новой методики учета, оценки и переоценки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Методология учета, оценки и переоценки разработана и утверждена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6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одготовка пробной финансовой отчетности 2-х пилотных главных распределителей бюджетных средств на основе метода начисления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Финансовая отчетность двух пилотных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главных распределителей бюджетных средств была подготовлена на основе метода начисления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7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недрить полную автоматизацию обработки доходов государственного бюджета в информационной системе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Информационная система управления государственными финансами обеспечила полную обработку доходов государственного бюджета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655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8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дополнительного модуля учета в государственном секторе в информационной системе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системе управления государственными финансами был разработан дополнительный модуль учета для государственного сектора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158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8F3ACE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9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дополнительного модуля для устранения внутриотраслевых и межведомственных операций в информационной системе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информационной системе управления государственными финансами был разработан дополнительный модуль для рассмотрения внутриотраслевых операций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ВМ, бюджетные организации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159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§10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Меры реформ в системе государственных закупок</w:t>
            </w:r>
          </w:p>
          <w:p w:rsidR="000F4403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Cовершенствование законодательства в сфере государственных закупок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PI-24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160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представление на рассмотрение в Правительство Республики Таджикистан проекта нового Закона Республики Таджикистан «О государственных закупках»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Новый законопроект был разработан и представлен Правительству Республики Таджикистан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8866A2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Усовершенствована система государственных закупок (включая усиление регулирующих функций), а также наращивание потенциала функции закупок для закупающих организаций в государственном секторе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АГЗТРУ, МЭТР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09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ринятие проекта Закона Республики Таджикистан «О государственных закупках»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Проект Закона Республики Таджикистан «О государственных закупках»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подписан Президентом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АГЗТРУ,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53"/>
        </w:trPr>
        <w:tc>
          <w:tcPr>
            <w:tcW w:w="847" w:type="dxa"/>
            <w:shd w:val="clear" w:color="auto" w:fill="FFFFFF" w:themeFill="background1"/>
          </w:tcPr>
          <w:p w:rsidR="000F4403" w:rsidRPr="00DD254B" w:rsidRDefault="00DD254B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принятие соответствующих подзаконных актов и прочих нормативных документов, обеспечивающих полноценную реализацию Закона Республики Таджикистан «О государственных закупках»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547547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Для обеспечения реализации нового закона были разработаны и приняты другие нормативные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првовые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акты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АГЗТРУ, МЭТР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164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Создание независимого механизма управления жалобами в сфере государственных закупок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PI-24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165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ф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ормулирование рекомендаций и механизма по рассмотрению жалоб в отношении государственных закупок, и их обсуждение со всеми заинтересованными сторонами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азработаны рекомендации и проект механизма рассмотрения жалоб на государственные закупки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53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031CE2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одготовка необходимой нормативной и операционной документации о создании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межведомственной комиссии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рассмотрению жалоб в отношении государственных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547547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При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создан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ии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межведомственной комиссии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жалоб и обращений в сфере государственных закупок, будут разработаны нормативные и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операци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онные документы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168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состава межведомственной комиссии по рассмотрению жалоб с стороны Правительств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а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Состав межведомстве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нной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комиссии по рассмотрению жалоб утвержден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Правительств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ом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169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4)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семинаров с главными распределителями бюджетных средств и распределителями бюджетных средств по их ознакомлению с новым механизмом рассмотрения жалоб в отношении государственных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роведены обучающие семинары для представителей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главных распределителей бюджетных средств и распределителей бюджетных средств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83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170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Совершенствование системы электронных закупок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PI-24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171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риведение системы электронных закупок в соответствие с Законом Республики Таджикистан «О государственных закупках»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Система электронных закупок соответствует Закону Республики Таджикистан «О государственных закупках»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Как минимум 90 процентов всех государственных сертификатов рекламируются через единый портал закупок 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Государственные предприятия, акционерные общества и совместные предприятия, в которых государству принадлежит 50 процентов акций или долей, а также инвестиционные проект, реализующие государственные (поэтапные) инвестиционные проекты, осуществляют свои закупки через единый портал электронных закупок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9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ведение большего количества индикаторов государственных закупок с целью их эффективного мониторинга (в частности, системы электронных закупок)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Были введены дополнительные показатели государственных закупок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ринятие мер по интеграции системы электронных закупок с бюджетными и казначейскими модулями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Система электронных закупок интегрирована с соответствующими модулями информационной системы управления государственными финансами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обучающих занятий для сотрудников Агентства по государственным закупкам товаров, работ и услуг при Правительстве Республики Таджикистан управлению системой электронных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Сотрудники Агентсва по государственным закупкам товаров, работ и услуг при Правительстве Республики Таджикистан прошли обучения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B0643B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5</w:t>
            </w: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с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оздание современной электронной дистанционной платформы для постоянного и эффективного обучения ответственных сотрудников Агентства по государственным закупкам товаров, работ и услуг при Правительстве Республики Таджикистан и закупочных организаций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Создана электронная дистанционная платформа для обучения сотрудников Агентсва по государственным закупкам товаров, работ и услуг при Правительстве Республики Таджикистан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 xml:space="preserve"> и закупочных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организаций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АГЗТРУ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177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§11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классификации бюджета</w:t>
            </w:r>
          </w:p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178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Cоставление и распространение статистики государственных финансов для бюджетных операций центральных органов исполнительной власти не реже одного раза в квартал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PI-4, PI-5, PI-6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179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71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пределение охвата имеющихся данных и приведение в соответствие с Руководством по статистике государственных финансов 2014 года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Министерство финансов Республики Таджикистан определило охват имеющихся данных в соответствии с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Руководством по статистике государственных финансов 2014 года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Полная бюджетная классификация на основе Руководства по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статистике государственных финансов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2014 года (отражено в едином казначейском счете)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Квартальные данные и отчеты по государственному долгу готовятся и публикуются на вебсайте Министерства финансов Республики Таджикистан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856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а базе имеющихся данных определить недостающую информацию для обеспечения полного охвата операций на кассовой основе и для заполнения ежегодных данных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статистики государственных финансов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 балансу нефинансовых/финансовых активов и обязательств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Идентифицирована информация для обеспечения покрытия операций на кассовой основе и для заполнения ежегодных данных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статистики государственных финансов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 балансу нефинансовых/финансовых активов и обязательств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11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существить полную ревизию кодов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Руководства по статистике государственных финансов 2001года,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присвоенных к бюджетным классификациям и единому плану счетов, и гармонизировать эти коды с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Руководством по статистике государственных финансов 2014 года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Был проведен польный пересмотр кодов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Руководства по статистике государственных финансов 2001года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и согласован с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Руководством по статистике государственных финансов 2014 года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91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жеквартальная публикация статистики государственных финансов и соответствующих методологических пояснений на официальном вебсайте Министерства финансов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Статистика государственных финансов составляется ежеквартально и размещается на официальном сайте Министерства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184</w:t>
            </w:r>
          </w:p>
        </w:tc>
        <w:tc>
          <w:tcPr>
            <w:tcW w:w="15011" w:type="dxa"/>
            <w:gridSpan w:val="14"/>
            <w:shd w:val="clear" w:color="auto" w:fill="FFFFFF" w:themeFill="background1"/>
            <w:vAlign w:val="center"/>
          </w:tcPr>
          <w:p w:rsidR="000F4403" w:rsidRPr="00B0643B" w:rsidRDefault="000F4403" w:rsidP="00B313A2">
            <w:pPr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4.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РЕФОРМ ПО ФИНАНСОВОМУ КОНТРОЛЮ И ВНУТРЕННЕМУ АУДИТУ</w:t>
            </w:r>
          </w:p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§12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финансовому контролю и внутреннему аудиту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185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35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Укрепление управления рисками, внутреннего финансового контроля и внутреннего аудита соответствующих управлений и отделов Министерства финансов Республики Таджикистан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PI-26, PI-23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186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обсуждение механизма аудита на основе выявленных рисков (включая разработку критериев риска и т.п.)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Механизм внутреннего аудита был разработан и согласован на основе выявленных рисков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100 процентов всех выявленных рисков были проверены органами внутреннего аудита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Не менее 75 процентов всей финансовой отчетности бюджетных организаций соответствуют Международным стандартам финансовой отчетности в государственном секторе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86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Министерством финансов Республики Таджикистан механизма аудита на основе выявленных рисков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Механизм внутреннего аудита на основе выявленных рисков утвержд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Министерством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539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189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квалификационных занятий для сотрудников управления внутреннего аудита и надзора Министерства финансов Республики Таджикистан современным методам и принципам внутреннего финансового контроля и внутреннего аудита (включая аудит на основе выявленных рисков)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Сотрудники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управления внутреннего аудита и надзора Министерства финансов Республики Таджикистан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прошли обучение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63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утверждение плана обучения сотрудников других подведомственных структур Министерства финансов Республики Таджикистан современным методам и принципам внутреннего финансового контроля и внутреннего аудита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Были разработаны и утверждены планы обучения сотрудников других структур Министерства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ГРБС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191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5.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БУХГАЛТЕРСКОМУ УЧЁТУ, МОНИТОРИНГУ И ОТЧЁННОСТИ</w:t>
            </w: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§13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информационной системе управления государственными финансами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192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36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Внедрение новых модулей информационной системы управления государственными финансами для контроля за обязательствами, управления денежными средствами, управления активами и обработки государственных закупок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--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193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и пилотирование новых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управлению денежными средствами, управлению обязательствами, управлению активами и обработке государственных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Новые модули 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управлению денежными средствами, управлению обязательствами, управлению активами и обработке государственных закупок завершили пилотирование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Как минимум 5 дополнительных функциональных возможностей (т.е модулей) были установлены, операционализированы и в полной мере используются Министерством финансов Республики Таджикистан и бюджетными организациями;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Как минимум 5 услуг электронного правительства полностью реализованы и доступны через министерства и ведомства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г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осударствен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-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ного сектора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06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и утверждение подзаконных актов (инструкций, распоряжений, положений и т.п.), регулирующих использование новых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управлению денежными средствами, управлению обязательствами, управлению активами и обработке государственных закупок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Подзаконные акты, регулирующие испльзование новых (вышеуказанных) модулей информационной системы управления государственными финансами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A14B2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52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ведение в действие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управлению денежными средствами, управлению обязательствами, управлению активами и обработке государственных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Введены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модули 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управлению денежными средствами, управлению обязательствами, управлению активами и обработке государственных закупок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52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8312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197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бучение ответственных сотрудников Министерства финансов Республики Таджикистан пользованию и управлению новыми модулями по управлению денежными средствами, управлению обязательствами, управлению активами и обработке государственных закупок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Министерства финансов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251892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198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251892" w:rsidRPr="00B1558C" w:rsidRDefault="00B1558C" w:rsidP="006454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Предлагаем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tg-Cyrl-TJ"/>
              </w:rPr>
              <w:t>ые реформы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251892" w:rsidRPr="00B0643B" w:rsidRDefault="00B1558C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199</w:t>
            </w:r>
          </w:p>
        </w:tc>
        <w:tc>
          <w:tcPr>
            <w:tcW w:w="12702" w:type="dxa"/>
            <w:gridSpan w:val="12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37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Пересмотр и введение в действие нового модуля среднесрочной программы государственных расходов в Республике Таджикистан и бюджетирования капитальных (инвестиционных) расходов в информационной системе управления государственными финансами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--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8312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200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643" w:type="dxa"/>
            <w:gridSpan w:val="5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09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8312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с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оставление и обработка реестра инвестиционных проектов в рамках программы государственных инвестиций с целью разделения текущих и капитальных расходов, а также оценки расходов на среднесрочный период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Список инвестиционных проектов в рамках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программы государственных инвестиций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в среднесрочной преспективе разработан и обработан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Текущие бюджеты и инвестиции (включая программу государственных инвестиций) были интегрированы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Министерством финансов и бюджетными организациями было установлено и реализовано как минимум 5 дополнительных функций (т.е. модулей)</w:t>
            </w: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2022-</w:t>
            </w:r>
            <w:r w:rsidRPr="00FD0E7E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МЭРТ,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илотирование новых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среднесрочной программе государственных расходов и бюджетирования капитальных (инвестиционных) расходов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Новые модули 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по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среднесрочной программе государственных расходов и бюджетирования капитальных (инвестиционных) расходов пилотированы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2022-</w:t>
            </w:r>
            <w:r w:rsidRPr="00FD0E7E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06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и утверждение подзаконных актов (инструкций, распоряжений, положений и т.п.), регулирующих использование новых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среднесрочной программе государственных расходов и бюджетирования капитальных (инвестиционных) расходов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Разработаны и утверждены документы и другие нормативные акты, регламентирующие использование новых модулей информационной системы управления государственными финансами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2022-</w:t>
            </w:r>
            <w:r w:rsidRPr="00FD0E7E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52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ведение в действие модулей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по среднесрочной программе государственных расходов и бюджетирования капитальных (инвестиционных) расходов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Модул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информационной системы управления государственными финансами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для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среднесрочной программы государственных расходов в Республике Таджикистан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 бюджетирования для капитальных затрат (инвестиций) были приняты во внимание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2022-</w:t>
            </w:r>
            <w:r w:rsidRPr="00FD0E7E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52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5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)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бучение ответственных сотрудников Министерства финансов Республики Таджикистан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 xml:space="preserve">и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Министерства экономического развития и торговли Республики Таджикистан пользованию и управлению новыми модулями по среднесрочной программе государственных расходов и бюджетирования капитальных (инвестиционных) расходов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Наращивание потенциала (знаний, навыков и компетенций) сотрудников Министерства финансов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643" w:type="dxa"/>
            <w:gridSpan w:val="5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2022-</w:t>
            </w:r>
            <w:r w:rsidRPr="00FD0E7E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2309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МЭРТ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206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§14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бухгалтерскому учёту в государственном сектор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207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38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. Разработка, утверждение и принятие стандартизированных руководств и прочей документации по финансовой отчётности в соответствии с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м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еждународными стандартами финансовой отчётности для государственного сектора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PI-20, PI-27, PI-29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209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согласование инструкции по учёту международных стандартов финансовой отчетности для государственного сектора при внедрении новых модулей ИСУГФ по управлению денежными средствами, управлению обязательствами и управлению активами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Инструкция по учёту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международных стандартов финансовой отчетности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для государственного сектора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разработана и согласована 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Стандарты, соответствующие Международным стандартам финансовой отчётности государственного сектора успешно внедрены и используются бюджетными организациями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75 процентов всех годовых финансовых отчётов от бюджетных организаций государственного сектора включают полную информацию о доходах, расходах, а также финансовых активах и обязательствах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комплексной инвентаризации и переоценки запасов, основных средств и оборудования в государственном секторе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Проведена и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нвентаризация и переценка запасов, основных средств и обрудования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2021-2022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61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бновление системы бухгалтерского учёта и учётных записей для того, чтобы отразить и вести учётные данные соответствующих активов на основе проведённой инвентаризации и переоценки запасов, основных средств и оборудования в государственном секторе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Обновлен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 система бухгалтерского учёта и учётных записей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61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методологии оценки запасов и основных средств в государственном секторе (в соответствии с передовой международной практикой)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Методология оценки запасов и основных средств в государственном секторе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12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213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5 Меры по мониторингу деятельности государственные предприятия</w:t>
            </w:r>
          </w:p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12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214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39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Усиление режима мониторинга государственных предприятий со стороны Министерства финансов Республики Таджикистан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--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73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215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623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с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оздание Координационного совета по налогово-бюджетным (фискальным) рискам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Координационный совет по фискальным рискам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создан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Финансовая отчётность государственных предприятий (включая крупные государственные предприятия) проходит аудит с рекомендациями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Мониторинг деятельности государственных предприятий со стороны Министерства финансов Республики Таджикистан расширен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Квазифискальные риски государственных предприятий сокращены на 50 процентов посредством внедрения чётких критериев оценки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586208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ПРТ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217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методики/механизма оценки системы управления в государственных предприятиях, подлежащих мониторингу со стороны Министерства финансов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Разработана методика/механизм оценки эффективности системы управления в государственных предприятиях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и применение методики/механизма оценки системы управления в государственных предприятиях, подлежащих мониторингу со стороны Министерства финансов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Утверждена методика/механизм оценки эффективности системы управления в государственных предприятиях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586208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219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нормативной документации и плана действий по расширению количества государственных предприятий, подлежащих регулярному мониторингу со стороны Министерства финансов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E606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Расширен переч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ь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государственных предприятий, подлежащих мониторингу со стороны Министерства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41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5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бучение ответственных сотрудников управления анализа финансово-хозяйственной деятельности крупных государственных предприятий Министерства финансов Республики Таджикистан передовым и эффективным методам мониторинга, аудита и отслеживания реализации предложенных рекомендаций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управления анализа финансово-хозяйственной деятельности крупных государственных предприятий Министерства финансов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586208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221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40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Установление ограничений по размерам совокупного долга и субсидий государственных предприятий за счёт государственного бюджета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--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67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222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анализа текущей и ожидаемой нагрузки государственного долга и субсидий государственных предприятий (т.е организаций квазигосударственного сектора) на государственный бюджет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Разработан а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налитический документ о государственном долге и субсидиях государственных предприятий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Финансовая отчётность государственных предприятий (включая крупные государственные предприятия) проходит аудит с рекомендациями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Мониторинг государственных предприятий со стороны Министерства финансов Республики Таджикистан расширен до всех типов государственных предприятий;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Квазифискальные риски государственных предприятий сокращены на 50 процентов посредством внедрения чётких критериев оценки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1675E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КГП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обсуждение методики/механизма определения «потолков» заимствований и субсидий государственных предприятий (т.е. организаций квазигосударственного сектора) в целях сокращения нагрузки на государственный бюджет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Разработана методика/механизм определения «потолков» заимствования и субсидий государственных предприятий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НБТ, КГП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611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тверждение методики/механизма определения «потолков» заимствований и субсидий государственных предприятий (т.е. организаций квазигосударственного сектора) в целях сокращения нагрузки на государственный бюджет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Утвержд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е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 методика/механизм определения «потолков» заимствования и субсидий государственных предприятий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НБТ, КГП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3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226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Реализация Стратегии управления государственными рисками (применительно к государственным предприятиям)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--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227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92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228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еализация мер, предусмотренных Стратегией управления фискальными рисками на 2016-2020 гг, применительно к государственным предприятиям (т.е организациям квазигосударственного сектора)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Стратегия управления фискальными рисками на 2016-2020 гг.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ыполнена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Квазифискальные риски государственных предприятий сокращены на 50 процентов посредством внедрения чётких критериев оценки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76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229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азработка Стратегии управления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фис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кальными рисками на 2021-2025 гг.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Стратеги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я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управления фискальными рисками на 2021-2025 гг.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азрабо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-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тана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230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251892" w:rsidRDefault="000F4403" w:rsidP="0025189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6.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ВНЕШНЕМУ АУДИТУ И КОНТРОЛЮ</w:t>
            </w:r>
          </w:p>
          <w:p w:rsidR="00251892" w:rsidRDefault="00251892" w:rsidP="0025189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6 Меры по внешнему аудиту</w:t>
            </w:r>
          </w:p>
          <w:p w:rsidR="000F4403" w:rsidRDefault="000F4403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</w:p>
          <w:p w:rsidR="00251892" w:rsidRPr="00251892" w:rsidRDefault="00251892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</w:p>
          <w:p w:rsidR="000F4403" w:rsidRDefault="000F4403" w:rsidP="0025189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231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Внедрение нового программного обеспечения и оборудования в Счётную палату Республики Таджикистан для эффективного проведения аудиторской работы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PI-30, PI-23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232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233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и согласование технических спецификаций по закупке нового программного обеспечения и оборудования в Счётную палату Республики Таджикистан в соответствии с передовой международной аудиторской практикой и требованиями безопасности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Технические спецификации по закупке нового программного обеспечения и оборудования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разработаны и согласованы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Аудиторы Счётной палаты Республики Таджикистан ежегодно дают заключения в полном соответствии с международными стандартами высших органов аудита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Счётная палата Республики Таджикистан завершила как минимум 5 аудитов эффективности и представила свои заключения для последующего обсуждения в Маджлиси намояндагон Маджлиси Оли Республики Таджикистан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одготовка и реализация плана действий по внедрению программного обеспечения и оборудования, и плана его обслуживания Счётной палатой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лан внедрения программного обеспечения и оборудования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 его обслуживания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подастовлен и реализован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802F96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60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недрение нового программного обеспечения и широкое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использование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оборудования в Счётной палате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0"/>
                <w:szCs w:val="21"/>
              </w:rPr>
              <w:t>Новые программное обеспечение и оборудование в Счётной палате Республики Таджикистан ввезены и внедрены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25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бучение ответственных сотрудников Счётной палаты Республики Таджикистан эксплуатации и обслуживанию нового программного обеспечения и оборудования 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Счётной палаты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2021-2022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237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43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. Разработка руководств по аудиту и приведение всех типов внешнего аудита в соответствие с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м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еждународными стандартами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ысших органов аудита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PI-30, PI-23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239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роведение оценки соответствия профессиональных стандартов Счётной палаты Республики Таджикистан с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стандартами международных стандартов высших органов аудита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Оценка соответствия стандартов Счётной палаты Республики Таджикистан с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международными стандартами высших органов аудита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проведена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Аудиторы Счётной палаты Республики Таджикистан ежегодно дают заключения в полном соответствии с международными стандартами высших органов аудита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Счётная палата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Республики Таджикистан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завершила как минимум 5 аудитов эффективности и представила свои заключения для последующего обсуждения в Маджлиси намояндагон Маджлиси Оли Республики Таджикистан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(или обновление) руководств по проведению финансового аудита, аудита соответствия и аудита эффективности в государственном секторе согласно передовой международной практике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азработаны 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уководства по проведению трёх ключевых типов внешнего аудита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Default="000F4403" w:rsidP="00E570E7">
            <w:pPr>
              <w:jc w:val="center"/>
            </w:pPr>
            <w:r w:rsidRPr="00410F68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410F68">
              <w:rPr>
                <w:rFonts w:ascii="Times New Roman Tj" w:hAnsi="Times New Roman Tj" w:cs="Times New Roman"/>
                <w:bCs/>
                <w:sz w:val="21"/>
                <w:szCs w:val="21"/>
              </w:rPr>
              <w:t>-202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бучение ответственных сотрудников Счётной палаты Республики Таджикистан проведению различных типов аудита в соответствии с международными стандартами высших органов аудита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Повышен потенциал (знания, навыки и компетенции) сотрудников Счётной палаты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Default="000F4403" w:rsidP="00E570E7">
            <w:pPr>
              <w:jc w:val="center"/>
            </w:pPr>
            <w:r w:rsidRPr="00410F68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410F68">
              <w:rPr>
                <w:rFonts w:ascii="Times New Roman Tj" w:hAnsi="Times New Roman Tj" w:cs="Times New Roman"/>
                <w:bCs/>
                <w:sz w:val="21"/>
                <w:szCs w:val="21"/>
              </w:rPr>
              <w:t>-2022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242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ересмотр и оптимизация организационной структуры Счётной палаты Республики Таджикистан для эффективного осуществления аудиторской деятельности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Модернизирована организационная структура Счётной палаты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СП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243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Улучшение координации и взаимосвязи между Счётной палатой Республики Таджикистан и Маджлиси намояндагон Маджлиси Оли Республики Таджикистан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PI-30, PI-23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244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41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несение изменений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и дополнений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в законодательство с целью обязательного рассмотрения и обсуждения со стороны Маджлиси намояндагон Маджлиси Оли Республики Таджикистан аудиторских заключений (в частности, по исполнению государственного бюджета), представляемых Счётной палатой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Законодательство в сфере управления государственными финансами предусматривает рассмотрение и обсуждение аудиторских заключений Счётной палаты Республики Таджикистан в Маджлиси намояндагон Маджлиси Оли Республики Таджикистан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Счётная палата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Республики Таджикистан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завершила как минимум 5 аудитов эффективности и представила свои заключения для последующего обсуждения в Маджлиси намояндагон Маджлиси Оли Республики Таджикистан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Комитет по экономике и финансам МНМО, МФ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246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Default="000F4403" w:rsidP="00B313A2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§17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парламентскому контролю</w:t>
            </w:r>
          </w:p>
          <w:p w:rsidR="000F4403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247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45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Реализация мероприятий по усилению парламентского контроля за исполнением государственного бюджета со стороны Маджлиси намояндагон Маджлиси Оли Республики Таджикистан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PI-31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248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7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249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jc w:val="both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в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несение изменений в законодательство в сфере управления государственными финансами для обязательного рассмотрения и обсуждения в Маджлиси намояндагон Маджлиси Оли Республики Таджикистан среднесрочных параметров государственного бюджета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Законодательство в сфере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управления государственными финансами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предусматривает рассмотрение и обсуждение в Маджлиси намояндагон Маджлиси Оли Республики Таджикистан среднесрочных параметров государственного бюджета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Национальное законодательство поддерживает эффективный контроль за исполнением государственного бюджета со стороны Маджлиси намояндагон Маджлиси Оли Республики Таджикистан, а также координацию с органами государственной власти (например, со Счётной палатой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Республики Таджикистан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</w:p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К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омитеты Маджлиси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амояндагон Маджлиси Оли Республики Таджикистан проводят эффективный контроль за доходами и расходами государственного бюджета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2022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Комитет по экономике и финансам МНМО,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89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2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редставление Министерством финансов Республики Таджикистан в Маджлиси намояндагон Маджлиси Оли Республики Таджикистан «Основны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х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направлени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й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финансово-бюджетной и налоговой политики на предстоящий период бюджетного планирования» для обсуждения и представления своего заключения со стороны комитета по экономике и финансов Маджлиси намояндагон Маджлиси Оли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«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Основные направления финансово-бюджетной и налоговой политики на предстоящий период бюджетного планирования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» представлены Министерством финансов Республики Таджикистан в Маджлиси намояндагон Маджлиси Оли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Комитет по экономике и финансам МНМО,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27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251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бязательное рассмотрение комитетом по экономике и финансов Маджлиси намояндагон Маджлиси Оли Республики Таджикистан отчёта Министерства финансов Республики Таджикистан по исполнению государственного бюджета перед рассмотрением проекта Закона Республики Таджикистан «О государственном бюджете» на следующий финансовый год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Отчёт Министерства финансов Республики Таджикистан по исполнению государственного бюджета рассматривается комитетом по экономике и финансам Маджлиси намояндагон Маджлиси Оли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Комитет по экономике и финансам МНМО, 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76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252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46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Усиление аналитического потенциала комитета по экономике и финансам Маджлиси намояндагон Маджлиси Оли Республики Таджикистан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Default="000F4403" w:rsidP="00ED497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</w:t>
            </w:r>
          </w:p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PI-31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237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253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435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254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1)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крепление информационно-аналитической базы комитета по экономике и финансам Маджлиси намояндагон Маджлиси Оли Республики Таджикистан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Укреплена информационно-аналитическая база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комитета по экономике и финансам Маджлиси намояндагон Маджлиси Оли Республики Таджикистан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Национальное законодательство поддерживает эффективный контроль за исполнением государственного бюджета со стороны Маджлиси намояндагон Маджлиси Оли Республики Таджикистан, а также координацию с органами государственной власти (например, со Счётной палатой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Республики Таджикистан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Комитеты Маджлиси намояндагон Маджлиси Оли Республики Таджикистан проводят эффективный контроль за доходами и расходами государственного бюджета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1-2022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Комитет по экономике и финансам МНМО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55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255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у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комплектование комитета по экономике и финансам Маджлиси намояндагон Маджлиси Оли Республики Таджикистан профессиональными сотрудниками и специалистами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Наняты квалифицированные штатные сотрудники в 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комитет по экономике и финансам Маджлиси намояндагон Маджлиси Оли Республики Таджикистан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802F96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2021-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Комитет по экономике и финансам МНМО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343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256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3)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азработка и представление в Маджлиси Оли Республики Таджикистан предложений по обеспечению финансовой устойчивости аналитического секретариата комитета по экономике и финансам Маджлиси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н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амояндагон Маджлиси Оли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Предложения по обеспечению устойчивости аналитического секретариата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Комитет по экономике и финансам МНМО 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0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257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Default="000F4403" w:rsidP="00B313A2">
            <w:pPr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  <w:p w:rsidR="000F4403" w:rsidRPr="00B0643B" w:rsidRDefault="000F4403" w:rsidP="00B313A2">
            <w:pPr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7.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МЕРЫ ПО ПРОЗРАЧНОСТИ И ПОДОЧЁНОТНОСТИ</w:t>
            </w:r>
          </w:p>
          <w:p w:rsidR="000F4403" w:rsidRDefault="000F4403" w:rsidP="00B313A2">
            <w:pPr>
              <w:shd w:val="clear" w:color="auto" w:fill="FFFFFF" w:themeFill="background1"/>
              <w:contextualSpacing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§18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Меры по общественному доступу к информации</w:t>
            </w:r>
          </w:p>
          <w:p w:rsidR="000F4403" w:rsidRDefault="000F4403" w:rsidP="00564230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309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258</w:t>
            </w:r>
          </w:p>
        </w:tc>
        <w:tc>
          <w:tcPr>
            <w:tcW w:w="12571" w:type="dxa"/>
            <w:gridSpan w:val="8"/>
            <w:shd w:val="clear" w:color="auto" w:fill="FFFFFF" w:themeFill="background1"/>
            <w:vAlign w:val="center"/>
          </w:tcPr>
          <w:p w:rsidR="000F4403" w:rsidRPr="00B0643B" w:rsidRDefault="000F4403" w:rsidP="00564230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7. Улучшение качества и расширение охвата бюджетной и финансовой информации, публикуемой на официальных вебсайтах органов государственной власти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259</w:t>
            </w:r>
          </w:p>
        </w:tc>
        <w:tc>
          <w:tcPr>
            <w:tcW w:w="5537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2826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6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51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440" w:type="dxa"/>
            <w:gridSpan w:val="6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9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260</w:t>
            </w:r>
          </w:p>
        </w:tc>
        <w:tc>
          <w:tcPr>
            <w:tcW w:w="5537" w:type="dxa"/>
            <w:gridSpan w:val="2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птимизация официального вебсайта Министерства финансов Республики Таджикистан для более открытого доступа информации, в том числе информации о бюджетных показателя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х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и другой финансовой нформации, а также информации в сфере управления государственными финансами</w:t>
            </w:r>
          </w:p>
        </w:tc>
        <w:tc>
          <w:tcPr>
            <w:tcW w:w="2826" w:type="dxa"/>
            <w:gridSpan w:val="3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Модернизированн вебсайт Министерства финансов Республики Таджикистан</w:t>
            </w:r>
          </w:p>
        </w:tc>
        <w:tc>
          <w:tcPr>
            <w:tcW w:w="2696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Ключевая бюджетная и финансовая информация (включая отчёты по исполнению бюджета) своевременно и в полной мере публикуются на вебсайте Министерства финансов Республики Таджикистан</w:t>
            </w:r>
          </w:p>
        </w:tc>
        <w:tc>
          <w:tcPr>
            <w:tcW w:w="151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</w:p>
        </w:tc>
        <w:tc>
          <w:tcPr>
            <w:tcW w:w="2440" w:type="dxa"/>
            <w:gridSpan w:val="6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МФ, ДЕС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83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  <w:lang w:val="tg-Cyrl-TJ"/>
              </w:rPr>
              <w:t>261</w:t>
            </w:r>
          </w:p>
        </w:tc>
        <w:tc>
          <w:tcPr>
            <w:tcW w:w="12665" w:type="dxa"/>
            <w:gridSpan w:val="10"/>
            <w:shd w:val="clear" w:color="auto" w:fill="FFFFFF" w:themeFill="background1"/>
            <w:vAlign w:val="center"/>
          </w:tcPr>
          <w:p w:rsidR="000F4403" w:rsidRPr="00B0643B" w:rsidRDefault="000F4403" w:rsidP="006454CF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48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. Обеспечение практики ежегодной и качественной публикации гражданского бюджета со стороны Министерства финансов Республики Таджикистан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2346" w:type="dxa"/>
            <w:gridSpan w:val="4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Индикатор PI-9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498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262</w:t>
            </w:r>
          </w:p>
        </w:tc>
        <w:tc>
          <w:tcPr>
            <w:tcW w:w="4652" w:type="dxa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Наименование мероприятий</w:t>
            </w:r>
          </w:p>
        </w:tc>
        <w:tc>
          <w:tcPr>
            <w:tcW w:w="3424" w:type="dxa"/>
            <w:gridSpan w:val="2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Ожидаемый результат (краткосрочный)</w:t>
            </w:r>
          </w:p>
        </w:tc>
        <w:tc>
          <w:tcPr>
            <w:tcW w:w="2697" w:type="dxa"/>
            <w:gridSpan w:val="3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Индикатор результативности </w:t>
            </w:r>
          </w:p>
        </w:tc>
        <w:tc>
          <w:tcPr>
            <w:tcW w:w="1892" w:type="dxa"/>
            <w:gridSpan w:val="4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2346" w:type="dxa"/>
            <w:gridSpan w:val="4"/>
            <w:shd w:val="clear" w:color="auto" w:fill="FFFFFF" w:themeFill="background1"/>
            <w:vAlign w:val="center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Ответственные ведомства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146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504EEC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263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1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п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одготовка и утверждение Министерством финансов Республики Таджикистан руководства по разработке гражданского бюджета (по проекту Закона Республики Таджикистан «О государственном бюджете»)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Руководство по разработке гражданского бюджета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 разработано и утверждено</w:t>
            </w:r>
          </w:p>
        </w:tc>
        <w:tc>
          <w:tcPr>
            <w:tcW w:w="2697" w:type="dxa"/>
            <w:gridSpan w:val="3"/>
            <w:vMerge w:val="restart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Гражданский бюджет публикуется на вебсайте Министерства финансов Республики Таджикистан</w:t>
            </w:r>
          </w:p>
        </w:tc>
        <w:tc>
          <w:tcPr>
            <w:tcW w:w="1892" w:type="dxa"/>
            <w:gridSpan w:val="4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2021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46" w:type="dxa"/>
            <w:gridSpan w:val="4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69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264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>2)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азработка гражданского бюджета (по проекту Закона Республики Таджикистан «О государственном бюджете» на соответствующий год и по исполнению государственного бюджета за предыдущий год) и его размещение на официальном вебсайте Министерства финансов Республики Таджикистан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6F584D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</w:rPr>
              <w:t xml:space="preserve">Гражданский бюджет разработан и 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размещённ на официальном вебсайте Министерства финансов Республики Таджикистан</w:t>
            </w:r>
          </w:p>
        </w:tc>
        <w:tc>
          <w:tcPr>
            <w:tcW w:w="2697" w:type="dxa"/>
            <w:gridSpan w:val="3"/>
            <w:vMerge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1892" w:type="dxa"/>
            <w:gridSpan w:val="4"/>
            <w:shd w:val="clear" w:color="auto" w:fill="FFFFFF" w:themeFill="background1"/>
          </w:tcPr>
          <w:p w:rsidR="000F4403" w:rsidRPr="00B0643B" w:rsidRDefault="000F4403" w:rsidP="00802F96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-2022 </w:t>
            </w:r>
          </w:p>
        </w:tc>
        <w:tc>
          <w:tcPr>
            <w:tcW w:w="2346" w:type="dxa"/>
            <w:gridSpan w:val="4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1104"/>
        </w:trPr>
        <w:tc>
          <w:tcPr>
            <w:tcW w:w="847" w:type="dxa"/>
            <w:shd w:val="clear" w:color="auto" w:fill="FFFFFF" w:themeFill="background1"/>
          </w:tcPr>
          <w:p w:rsidR="000F4403" w:rsidRPr="00251892" w:rsidRDefault="00251892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265</w:t>
            </w: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3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р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азработка и утверждение методических указаний по составлению полугодового обзора исполнения государственного бюджета Республики Таджикистан 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Методика составления полугодового обзора исполнения государственного бюджета Республики Таджикистан разработана и утверждена</w:t>
            </w:r>
          </w:p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2697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Обзор полугодового отчета подготовлен в сроки и в рамках методического указания</w:t>
            </w:r>
          </w:p>
        </w:tc>
        <w:tc>
          <w:tcPr>
            <w:tcW w:w="1892" w:type="dxa"/>
            <w:gridSpan w:val="4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2021 </w:t>
            </w:r>
          </w:p>
        </w:tc>
        <w:tc>
          <w:tcPr>
            <w:tcW w:w="2346" w:type="dxa"/>
            <w:gridSpan w:val="4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  <w:tr w:rsidR="000F4403" w:rsidRPr="00B0643B" w:rsidTr="00F941D6">
        <w:tblPrEx>
          <w:shd w:val="clear" w:color="auto" w:fill="FFFFFF" w:themeFill="background1"/>
        </w:tblPrEx>
        <w:trPr>
          <w:trHeight w:val="852"/>
        </w:trPr>
        <w:tc>
          <w:tcPr>
            <w:tcW w:w="847" w:type="dxa"/>
            <w:shd w:val="clear" w:color="auto" w:fill="FFFFFF" w:themeFill="background1"/>
          </w:tcPr>
          <w:p w:rsidR="00C57DB9" w:rsidRPr="00C57DB9" w:rsidRDefault="00C57DB9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</w:pPr>
            <w:r>
              <w:rPr>
                <w:rFonts w:ascii="Times New Roman Tj" w:hAnsi="Times New Roman Tj" w:cs="Times New Roman"/>
                <w:sz w:val="21"/>
                <w:szCs w:val="21"/>
                <w:lang w:val="tg-Cyrl-TJ"/>
              </w:rPr>
              <w:t>266</w:t>
            </w:r>
          </w:p>
          <w:p w:rsidR="000F4403" w:rsidRPr="00C57DB9" w:rsidRDefault="000F4403" w:rsidP="00C57DB9">
            <w:pPr>
              <w:rPr>
                <w:rFonts w:ascii="Times New Roman Tj" w:hAnsi="Times New Roman Tj" w:cs="Times New Roman"/>
                <w:sz w:val="21"/>
                <w:szCs w:val="21"/>
              </w:rPr>
            </w:pPr>
          </w:p>
        </w:tc>
        <w:tc>
          <w:tcPr>
            <w:tcW w:w="4652" w:type="dxa"/>
            <w:shd w:val="clear" w:color="auto" w:fill="FFFFFF" w:themeFill="background1"/>
          </w:tcPr>
          <w:p w:rsidR="000F4403" w:rsidRPr="00B0643B" w:rsidRDefault="000F4403" w:rsidP="006454CF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4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)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 xml:space="preserve"> </w:t>
            </w:r>
            <w:r>
              <w:rPr>
                <w:rFonts w:ascii="Times New Roman Tj" w:hAnsi="Times New Roman Tj" w:cs="Times New Roman"/>
                <w:sz w:val="21"/>
                <w:szCs w:val="21"/>
              </w:rPr>
              <w:t>о</w:t>
            </w: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бновление методических указаний по обеспечению прозрачности и доступности гражданам информации о бюджетном процессе</w:t>
            </w:r>
          </w:p>
        </w:tc>
        <w:tc>
          <w:tcPr>
            <w:tcW w:w="3424" w:type="dxa"/>
            <w:gridSpan w:val="2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Методическое указание по обеспечению прозрачности и доступности гражданам информации о бюджетном процессе обновлено</w:t>
            </w:r>
          </w:p>
        </w:tc>
        <w:tc>
          <w:tcPr>
            <w:tcW w:w="2697" w:type="dxa"/>
            <w:gridSpan w:val="3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rPr>
                <w:rFonts w:ascii="Times New Roman Tj" w:hAnsi="Times New Roman Tj" w:cs="Times New Roman"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sz w:val="21"/>
                <w:szCs w:val="21"/>
              </w:rPr>
              <w:t>Гражданскому обществу был предоставлен своевременный доступ к бюджетной информации</w:t>
            </w:r>
          </w:p>
        </w:tc>
        <w:tc>
          <w:tcPr>
            <w:tcW w:w="1892" w:type="dxa"/>
            <w:gridSpan w:val="4"/>
            <w:shd w:val="clear" w:color="auto" w:fill="FFFFFF" w:themeFill="background1"/>
          </w:tcPr>
          <w:p w:rsidR="000F4403" w:rsidRPr="00B0643B" w:rsidRDefault="000F4403" w:rsidP="00E570E7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202</w:t>
            </w:r>
            <w:r>
              <w:rPr>
                <w:rFonts w:ascii="Times New Roman Tj" w:hAnsi="Times New Roman Tj" w:cs="Times New Roman"/>
                <w:bCs/>
                <w:sz w:val="21"/>
                <w:szCs w:val="21"/>
              </w:rPr>
              <w:t>1</w:t>
            </w: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46" w:type="dxa"/>
            <w:gridSpan w:val="4"/>
            <w:shd w:val="clear" w:color="auto" w:fill="FFFFFF" w:themeFill="background1"/>
          </w:tcPr>
          <w:p w:rsidR="000F4403" w:rsidRPr="00B0643B" w:rsidRDefault="000F4403" w:rsidP="00B0643B">
            <w:pPr>
              <w:shd w:val="clear" w:color="auto" w:fill="FFFFFF" w:themeFill="background1"/>
              <w:jc w:val="center"/>
              <w:rPr>
                <w:rFonts w:ascii="Times New Roman Tj" w:hAnsi="Times New Roman Tj" w:cs="Times New Roman"/>
                <w:bCs/>
                <w:sz w:val="21"/>
                <w:szCs w:val="21"/>
              </w:rPr>
            </w:pPr>
            <w:r w:rsidRPr="00B0643B">
              <w:rPr>
                <w:rFonts w:ascii="Times New Roman Tj" w:hAnsi="Times New Roman Tj" w:cs="Times New Roman"/>
                <w:bCs/>
                <w:sz w:val="21"/>
                <w:szCs w:val="21"/>
              </w:rPr>
              <w:t>МФ</w:t>
            </w:r>
          </w:p>
        </w:tc>
      </w:tr>
    </w:tbl>
    <w:p w:rsidR="00FE4ABB" w:rsidRDefault="00FE4ABB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0"/>
          <w:szCs w:val="20"/>
        </w:rPr>
      </w:pPr>
    </w:p>
    <w:p w:rsidR="00A33B13" w:rsidRPr="00CE4204" w:rsidRDefault="00A33B13" w:rsidP="00C05713">
      <w:pPr>
        <w:spacing w:after="0" w:line="240" w:lineRule="auto"/>
        <w:jc w:val="both"/>
        <w:rPr>
          <w:rFonts w:ascii="Times New Roman Tj" w:hAnsi="Times New Roman Tj"/>
          <w:sz w:val="24"/>
          <w:szCs w:val="24"/>
        </w:rPr>
      </w:pPr>
      <w:r w:rsidRPr="00CE4204">
        <w:rPr>
          <w:rFonts w:ascii="Times New Roman Tj" w:hAnsi="Times New Roman Tj" w:cs="Times New Roman"/>
          <w:sz w:val="24"/>
          <w:szCs w:val="24"/>
        </w:rPr>
        <w:t xml:space="preserve">       </w:t>
      </w:r>
      <w:r w:rsidR="00ED497F" w:rsidRPr="00CE4204">
        <w:rPr>
          <w:rFonts w:ascii="Times New Roman Tj" w:hAnsi="Times New Roman Tj" w:cs="Times New Roman"/>
          <w:sz w:val="24"/>
          <w:szCs w:val="24"/>
        </w:rPr>
        <w:t xml:space="preserve">Примечание: Финансирование </w:t>
      </w:r>
      <w:r w:rsidR="00C05713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Плана по реализации</w:t>
      </w:r>
      <w:r w:rsidR="00C05713" w:rsidRPr="00CE4204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="005D6918" w:rsidRPr="00CE4204">
        <w:rPr>
          <w:rFonts w:ascii="Times New Roman Tj" w:hAnsi="Times New Roman Tj" w:cs="Times New Roman"/>
          <w:sz w:val="24"/>
          <w:szCs w:val="24"/>
        </w:rPr>
        <w:t>на</w:t>
      </w:r>
      <w:r w:rsidR="005D6918">
        <w:rPr>
          <w:rFonts w:ascii="Times New Roman Tj" w:hAnsi="Times New Roman Tj" w:cs="Times New Roman"/>
          <w:sz w:val="24"/>
          <w:szCs w:val="24"/>
        </w:rPr>
        <w:t>стоящей</w:t>
      </w:r>
      <w:r w:rsidR="005D6918" w:rsidRPr="00CE4204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 xml:space="preserve"> </w:t>
      </w:r>
      <w:r w:rsidR="00CE4204" w:rsidRPr="00CE4204">
        <w:rPr>
          <w:rFonts w:ascii="Times New Roman Tj" w:eastAsia="Times New Roman" w:hAnsi="Times New Roman Tj" w:cs="Times New Roman"/>
          <w:sz w:val="24"/>
          <w:szCs w:val="24"/>
          <w:lang w:val="tg-Cyrl-TJ" w:eastAsia="ru-RU"/>
        </w:rPr>
        <w:t>П</w:t>
      </w:r>
      <w:r w:rsidR="005D6918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рограммы</w:t>
      </w:r>
      <w:r w:rsidR="00C05713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осуществляется </w:t>
      </w:r>
      <w:r w:rsidR="00ED497F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в </w:t>
      </w:r>
      <w:r w:rsidR="00CE4204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рамках</w:t>
      </w:r>
      <w:r w:rsidR="00ED497F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средств</w:t>
      </w:r>
      <w:r w:rsidR="00CE4204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, предусмотренных в республиканском</w:t>
      </w:r>
      <w:r w:rsidR="00ED497F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бюджет</w:t>
      </w:r>
      <w:r w:rsidR="00CE4204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е</w:t>
      </w:r>
      <w:r w:rsidR="00ED497F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, </w:t>
      </w:r>
      <w:r w:rsidR="00CE4204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а также </w:t>
      </w:r>
      <w:r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 xml:space="preserve"> </w:t>
      </w:r>
      <w:r w:rsidR="00C05713" w:rsidRPr="00CE4204">
        <w:rPr>
          <w:rFonts w:ascii="Times New Roman Tj" w:eastAsia="Times New Roman" w:hAnsi="Times New Roman Tj" w:cs="Times New Roman"/>
          <w:sz w:val="24"/>
          <w:szCs w:val="24"/>
          <w:lang w:eastAsia="ru-RU"/>
        </w:rPr>
        <w:t>т</w:t>
      </w:r>
      <w:r w:rsidR="00C05713" w:rsidRPr="00CE4204">
        <w:rPr>
          <w:rFonts w:ascii="Times New Roman Tj" w:hAnsi="Times New Roman Tj"/>
          <w:sz w:val="24"/>
          <w:szCs w:val="24"/>
        </w:rPr>
        <w:t>ехническ</w:t>
      </w:r>
      <w:r w:rsidR="00CE4204" w:rsidRPr="00CE4204">
        <w:rPr>
          <w:rFonts w:ascii="Times New Roman Tj" w:hAnsi="Times New Roman Tj"/>
          <w:sz w:val="24"/>
          <w:szCs w:val="24"/>
        </w:rPr>
        <w:t>о</w:t>
      </w:r>
      <w:r w:rsidR="00C05713" w:rsidRPr="00CE4204">
        <w:rPr>
          <w:rFonts w:ascii="Times New Roman Tj" w:hAnsi="Times New Roman Tj"/>
          <w:sz w:val="24"/>
          <w:szCs w:val="24"/>
        </w:rPr>
        <w:t>й</w:t>
      </w:r>
      <w:r w:rsidRPr="00CE4204">
        <w:rPr>
          <w:rFonts w:ascii="Times New Roman Tj" w:hAnsi="Times New Roman Tj"/>
          <w:sz w:val="24"/>
          <w:szCs w:val="24"/>
        </w:rPr>
        <w:t xml:space="preserve"> помощ</w:t>
      </w:r>
      <w:r w:rsidR="00C05713" w:rsidRPr="00CE4204">
        <w:rPr>
          <w:rFonts w:ascii="Times New Roman Tj" w:hAnsi="Times New Roman Tj"/>
          <w:sz w:val="24"/>
          <w:szCs w:val="24"/>
        </w:rPr>
        <w:t>и</w:t>
      </w:r>
      <w:r w:rsidR="00CE4204" w:rsidRPr="00CE4204">
        <w:rPr>
          <w:rFonts w:ascii="Times New Roman Tj" w:hAnsi="Times New Roman Tj"/>
          <w:sz w:val="24"/>
          <w:szCs w:val="24"/>
        </w:rPr>
        <w:t xml:space="preserve"> партнеров по развитию</w:t>
      </w:r>
      <w:r w:rsidRPr="00CE4204">
        <w:rPr>
          <w:rFonts w:ascii="Times New Roman Tj" w:hAnsi="Times New Roman Tj"/>
          <w:sz w:val="24"/>
          <w:szCs w:val="24"/>
        </w:rPr>
        <w:t xml:space="preserve"> </w:t>
      </w:r>
      <w:r w:rsidR="00CE4204">
        <w:rPr>
          <w:rFonts w:ascii="Times New Roman Tj" w:hAnsi="Times New Roman Tj"/>
          <w:sz w:val="24"/>
          <w:szCs w:val="24"/>
        </w:rPr>
        <w:t>и других международных организаций</w:t>
      </w:r>
      <w:r w:rsidRPr="00CE4204">
        <w:rPr>
          <w:rFonts w:ascii="Times New Roman Tj" w:hAnsi="Times New Roman Tj"/>
          <w:sz w:val="24"/>
          <w:szCs w:val="24"/>
        </w:rPr>
        <w:t>.</w:t>
      </w:r>
    </w:p>
    <w:p w:rsidR="00ED497F" w:rsidRPr="00ED497F" w:rsidRDefault="00ED497F" w:rsidP="00ED497F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</w:p>
    <w:p w:rsidR="00ED497F" w:rsidRPr="00ED497F" w:rsidRDefault="00ED497F" w:rsidP="00B0643B">
      <w:pPr>
        <w:shd w:val="clear" w:color="auto" w:fill="FFFFFF" w:themeFill="background1"/>
        <w:spacing w:after="0" w:line="240" w:lineRule="auto"/>
        <w:rPr>
          <w:rFonts w:ascii="Times New Roman Tj" w:hAnsi="Times New Roman Tj" w:cs="Times New Roman"/>
          <w:sz w:val="20"/>
          <w:szCs w:val="20"/>
          <w:lang w:val="tg-Cyrl-TJ"/>
        </w:rPr>
      </w:pPr>
    </w:p>
    <w:sectPr w:rsidR="00ED497F" w:rsidRPr="00ED497F" w:rsidSect="00C8535A">
      <w:pgSz w:w="16838" w:h="11906" w:orient="landscape"/>
      <w:pgMar w:top="851" w:right="1268" w:bottom="851" w:left="1170" w:header="426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B04" w:rsidRDefault="00B65B04" w:rsidP="00EB13A7">
      <w:pPr>
        <w:spacing w:after="0" w:line="240" w:lineRule="auto"/>
      </w:pPr>
      <w:r>
        <w:separator/>
      </w:r>
    </w:p>
  </w:endnote>
  <w:endnote w:type="continuationSeparator" w:id="0">
    <w:p w:rsidR="00B65B04" w:rsidRDefault="00B65B04" w:rsidP="00EB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B04" w:rsidRDefault="00B65B04" w:rsidP="00EB13A7">
      <w:pPr>
        <w:spacing w:after="0" w:line="240" w:lineRule="auto"/>
      </w:pPr>
      <w:r>
        <w:separator/>
      </w:r>
    </w:p>
  </w:footnote>
  <w:footnote w:type="continuationSeparator" w:id="0">
    <w:p w:rsidR="00B65B04" w:rsidRDefault="00B65B04" w:rsidP="00EB1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962A6"/>
    <w:multiLevelType w:val="hybridMultilevel"/>
    <w:tmpl w:val="45182060"/>
    <w:lvl w:ilvl="0" w:tplc="DAE28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00460"/>
    <w:multiLevelType w:val="hybridMultilevel"/>
    <w:tmpl w:val="758AC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369AD"/>
    <w:multiLevelType w:val="hybridMultilevel"/>
    <w:tmpl w:val="7826D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47BDD"/>
    <w:multiLevelType w:val="hybridMultilevel"/>
    <w:tmpl w:val="48CAB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84F29"/>
    <w:multiLevelType w:val="hybridMultilevel"/>
    <w:tmpl w:val="203CE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372A7"/>
    <w:multiLevelType w:val="hybridMultilevel"/>
    <w:tmpl w:val="60760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D483E"/>
    <w:multiLevelType w:val="multilevel"/>
    <w:tmpl w:val="85FA6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16F"/>
    <w:rsid w:val="000029E8"/>
    <w:rsid w:val="00014937"/>
    <w:rsid w:val="0002308E"/>
    <w:rsid w:val="00025BA3"/>
    <w:rsid w:val="0003097B"/>
    <w:rsid w:val="00030E82"/>
    <w:rsid w:val="00031CE2"/>
    <w:rsid w:val="00033583"/>
    <w:rsid w:val="00033A45"/>
    <w:rsid w:val="00035E64"/>
    <w:rsid w:val="0003627E"/>
    <w:rsid w:val="000405CC"/>
    <w:rsid w:val="000420E3"/>
    <w:rsid w:val="00042F87"/>
    <w:rsid w:val="000442FD"/>
    <w:rsid w:val="000479A9"/>
    <w:rsid w:val="00047E30"/>
    <w:rsid w:val="000504F3"/>
    <w:rsid w:val="00057133"/>
    <w:rsid w:val="000648C1"/>
    <w:rsid w:val="00066A5D"/>
    <w:rsid w:val="0006760B"/>
    <w:rsid w:val="00067D20"/>
    <w:rsid w:val="0007107F"/>
    <w:rsid w:val="00072FD8"/>
    <w:rsid w:val="00082C4B"/>
    <w:rsid w:val="00095D29"/>
    <w:rsid w:val="00097A87"/>
    <w:rsid w:val="000A6936"/>
    <w:rsid w:val="000A78CD"/>
    <w:rsid w:val="000B0CEB"/>
    <w:rsid w:val="000B529A"/>
    <w:rsid w:val="000C37D4"/>
    <w:rsid w:val="000D2F16"/>
    <w:rsid w:val="000D505F"/>
    <w:rsid w:val="000D7E17"/>
    <w:rsid w:val="000E3546"/>
    <w:rsid w:val="000F176D"/>
    <w:rsid w:val="000F22F2"/>
    <w:rsid w:val="000F2557"/>
    <w:rsid w:val="000F4403"/>
    <w:rsid w:val="00106559"/>
    <w:rsid w:val="001074C7"/>
    <w:rsid w:val="001078B7"/>
    <w:rsid w:val="00111B4D"/>
    <w:rsid w:val="00120782"/>
    <w:rsid w:val="001222FE"/>
    <w:rsid w:val="00122F4E"/>
    <w:rsid w:val="00126F22"/>
    <w:rsid w:val="0012786C"/>
    <w:rsid w:val="001306BE"/>
    <w:rsid w:val="001368F0"/>
    <w:rsid w:val="00142851"/>
    <w:rsid w:val="00145A19"/>
    <w:rsid w:val="00153189"/>
    <w:rsid w:val="00155ECF"/>
    <w:rsid w:val="00156AF8"/>
    <w:rsid w:val="00157E2E"/>
    <w:rsid w:val="00161523"/>
    <w:rsid w:val="00165164"/>
    <w:rsid w:val="001675EF"/>
    <w:rsid w:val="00183178"/>
    <w:rsid w:val="0019298C"/>
    <w:rsid w:val="00194BCF"/>
    <w:rsid w:val="001A0276"/>
    <w:rsid w:val="001B5628"/>
    <w:rsid w:val="001C317B"/>
    <w:rsid w:val="001C4E52"/>
    <w:rsid w:val="001D3604"/>
    <w:rsid w:val="001E4753"/>
    <w:rsid w:val="001E4AF2"/>
    <w:rsid w:val="0020225F"/>
    <w:rsid w:val="00212257"/>
    <w:rsid w:val="00220EAB"/>
    <w:rsid w:val="00231D0C"/>
    <w:rsid w:val="00251725"/>
    <w:rsid w:val="00251892"/>
    <w:rsid w:val="00254A82"/>
    <w:rsid w:val="00254AD0"/>
    <w:rsid w:val="0025516D"/>
    <w:rsid w:val="002569D3"/>
    <w:rsid w:val="002615F1"/>
    <w:rsid w:val="00264D7A"/>
    <w:rsid w:val="00266070"/>
    <w:rsid w:val="0026662D"/>
    <w:rsid w:val="00267A5E"/>
    <w:rsid w:val="00270C33"/>
    <w:rsid w:val="002722F8"/>
    <w:rsid w:val="002775A9"/>
    <w:rsid w:val="002820B1"/>
    <w:rsid w:val="00283122"/>
    <w:rsid w:val="00292F77"/>
    <w:rsid w:val="00295E3E"/>
    <w:rsid w:val="00296EAA"/>
    <w:rsid w:val="002A0AA3"/>
    <w:rsid w:val="002A2760"/>
    <w:rsid w:val="002B3B30"/>
    <w:rsid w:val="002C150A"/>
    <w:rsid w:val="002C6FE6"/>
    <w:rsid w:val="002D5892"/>
    <w:rsid w:val="002D7FE5"/>
    <w:rsid w:val="002E36C5"/>
    <w:rsid w:val="002F7125"/>
    <w:rsid w:val="002F7E10"/>
    <w:rsid w:val="0030013E"/>
    <w:rsid w:val="00303525"/>
    <w:rsid w:val="003203FC"/>
    <w:rsid w:val="00322722"/>
    <w:rsid w:val="0032453C"/>
    <w:rsid w:val="00325496"/>
    <w:rsid w:val="003341D4"/>
    <w:rsid w:val="0033485C"/>
    <w:rsid w:val="0034176B"/>
    <w:rsid w:val="00347CBC"/>
    <w:rsid w:val="00350A0F"/>
    <w:rsid w:val="00361468"/>
    <w:rsid w:val="00362B78"/>
    <w:rsid w:val="00371B22"/>
    <w:rsid w:val="00372D6D"/>
    <w:rsid w:val="00373B3F"/>
    <w:rsid w:val="003754BC"/>
    <w:rsid w:val="00377B2A"/>
    <w:rsid w:val="003811C0"/>
    <w:rsid w:val="00393A47"/>
    <w:rsid w:val="003958F7"/>
    <w:rsid w:val="00395CE1"/>
    <w:rsid w:val="003A1D67"/>
    <w:rsid w:val="003A3809"/>
    <w:rsid w:val="003C46B0"/>
    <w:rsid w:val="003C666D"/>
    <w:rsid w:val="003C70D2"/>
    <w:rsid w:val="003C735C"/>
    <w:rsid w:val="003F0D55"/>
    <w:rsid w:val="00402B37"/>
    <w:rsid w:val="00407216"/>
    <w:rsid w:val="004100A7"/>
    <w:rsid w:val="00411328"/>
    <w:rsid w:val="00424AB4"/>
    <w:rsid w:val="004273A1"/>
    <w:rsid w:val="00433C60"/>
    <w:rsid w:val="00437578"/>
    <w:rsid w:val="00444842"/>
    <w:rsid w:val="004512F7"/>
    <w:rsid w:val="00453631"/>
    <w:rsid w:val="004552C8"/>
    <w:rsid w:val="00455FE4"/>
    <w:rsid w:val="00460730"/>
    <w:rsid w:val="004648CC"/>
    <w:rsid w:val="00471070"/>
    <w:rsid w:val="004711A5"/>
    <w:rsid w:val="0047315B"/>
    <w:rsid w:val="00474E47"/>
    <w:rsid w:val="00475868"/>
    <w:rsid w:val="00476C51"/>
    <w:rsid w:val="0047799E"/>
    <w:rsid w:val="004829D3"/>
    <w:rsid w:val="00485C34"/>
    <w:rsid w:val="00487FE8"/>
    <w:rsid w:val="004A0C4D"/>
    <w:rsid w:val="004A2AA1"/>
    <w:rsid w:val="004A6258"/>
    <w:rsid w:val="004A6BEA"/>
    <w:rsid w:val="004B29EC"/>
    <w:rsid w:val="004B3CB5"/>
    <w:rsid w:val="004C21CF"/>
    <w:rsid w:val="004C352B"/>
    <w:rsid w:val="004C5112"/>
    <w:rsid w:val="004C5354"/>
    <w:rsid w:val="004C5EE2"/>
    <w:rsid w:val="004D1F0B"/>
    <w:rsid w:val="004E2564"/>
    <w:rsid w:val="004E5915"/>
    <w:rsid w:val="004E5FCD"/>
    <w:rsid w:val="004E60D2"/>
    <w:rsid w:val="004E7996"/>
    <w:rsid w:val="004F26C3"/>
    <w:rsid w:val="004F2F9E"/>
    <w:rsid w:val="004F7CEF"/>
    <w:rsid w:val="00504EEC"/>
    <w:rsid w:val="005202C3"/>
    <w:rsid w:val="00522F29"/>
    <w:rsid w:val="00531A9E"/>
    <w:rsid w:val="00540B91"/>
    <w:rsid w:val="00540E43"/>
    <w:rsid w:val="0054437C"/>
    <w:rsid w:val="005449C9"/>
    <w:rsid w:val="00546D69"/>
    <w:rsid w:val="00547547"/>
    <w:rsid w:val="00547D84"/>
    <w:rsid w:val="00564230"/>
    <w:rsid w:val="00570010"/>
    <w:rsid w:val="00586208"/>
    <w:rsid w:val="005942A7"/>
    <w:rsid w:val="00597E85"/>
    <w:rsid w:val="005A20DF"/>
    <w:rsid w:val="005C36A1"/>
    <w:rsid w:val="005C565E"/>
    <w:rsid w:val="005C6580"/>
    <w:rsid w:val="005D4D2C"/>
    <w:rsid w:val="005D6918"/>
    <w:rsid w:val="005E143E"/>
    <w:rsid w:val="005E1C0A"/>
    <w:rsid w:val="005F7133"/>
    <w:rsid w:val="00620525"/>
    <w:rsid w:val="006237C6"/>
    <w:rsid w:val="00624ABB"/>
    <w:rsid w:val="006259EA"/>
    <w:rsid w:val="00626A5E"/>
    <w:rsid w:val="00626C4E"/>
    <w:rsid w:val="00627F68"/>
    <w:rsid w:val="00632850"/>
    <w:rsid w:val="0063521B"/>
    <w:rsid w:val="00637927"/>
    <w:rsid w:val="006431F5"/>
    <w:rsid w:val="006454CF"/>
    <w:rsid w:val="00645E40"/>
    <w:rsid w:val="00650488"/>
    <w:rsid w:val="00653E21"/>
    <w:rsid w:val="00656041"/>
    <w:rsid w:val="00672A4F"/>
    <w:rsid w:val="00677478"/>
    <w:rsid w:val="0067784B"/>
    <w:rsid w:val="00693346"/>
    <w:rsid w:val="0069437F"/>
    <w:rsid w:val="006977D0"/>
    <w:rsid w:val="006B0434"/>
    <w:rsid w:val="006B0793"/>
    <w:rsid w:val="006B0BCE"/>
    <w:rsid w:val="006B2DC6"/>
    <w:rsid w:val="006B6C39"/>
    <w:rsid w:val="006C3734"/>
    <w:rsid w:val="006C6790"/>
    <w:rsid w:val="006C7073"/>
    <w:rsid w:val="006C7E15"/>
    <w:rsid w:val="006D0B3C"/>
    <w:rsid w:val="006D58D5"/>
    <w:rsid w:val="006E053B"/>
    <w:rsid w:val="006E0FA0"/>
    <w:rsid w:val="006E606D"/>
    <w:rsid w:val="006F1875"/>
    <w:rsid w:val="006F2153"/>
    <w:rsid w:val="006F3343"/>
    <w:rsid w:val="006F44F5"/>
    <w:rsid w:val="006F584D"/>
    <w:rsid w:val="00700CAB"/>
    <w:rsid w:val="007049D1"/>
    <w:rsid w:val="007110C4"/>
    <w:rsid w:val="00715057"/>
    <w:rsid w:val="007405A0"/>
    <w:rsid w:val="007432E4"/>
    <w:rsid w:val="00746F75"/>
    <w:rsid w:val="0074703D"/>
    <w:rsid w:val="00747FB5"/>
    <w:rsid w:val="00762695"/>
    <w:rsid w:val="00765A41"/>
    <w:rsid w:val="007661B6"/>
    <w:rsid w:val="00771BE7"/>
    <w:rsid w:val="00772F0D"/>
    <w:rsid w:val="007768CE"/>
    <w:rsid w:val="007A764D"/>
    <w:rsid w:val="007B197E"/>
    <w:rsid w:val="007B2950"/>
    <w:rsid w:val="007B4A60"/>
    <w:rsid w:val="007B7900"/>
    <w:rsid w:val="007C070C"/>
    <w:rsid w:val="007C1754"/>
    <w:rsid w:val="007C3ED0"/>
    <w:rsid w:val="007C699D"/>
    <w:rsid w:val="007D1CA0"/>
    <w:rsid w:val="007D46A5"/>
    <w:rsid w:val="007D4B6D"/>
    <w:rsid w:val="007D5AAA"/>
    <w:rsid w:val="007E712A"/>
    <w:rsid w:val="007E785E"/>
    <w:rsid w:val="007F2B6D"/>
    <w:rsid w:val="007F4E5F"/>
    <w:rsid w:val="007F7E15"/>
    <w:rsid w:val="0080287A"/>
    <w:rsid w:val="00802F96"/>
    <w:rsid w:val="00804B1C"/>
    <w:rsid w:val="008070AE"/>
    <w:rsid w:val="00807EE8"/>
    <w:rsid w:val="00810408"/>
    <w:rsid w:val="008156CC"/>
    <w:rsid w:val="008175CA"/>
    <w:rsid w:val="008178C2"/>
    <w:rsid w:val="00817910"/>
    <w:rsid w:val="00821BA5"/>
    <w:rsid w:val="008247CD"/>
    <w:rsid w:val="0083006C"/>
    <w:rsid w:val="00832D91"/>
    <w:rsid w:val="00836EC6"/>
    <w:rsid w:val="00837D82"/>
    <w:rsid w:val="008414A9"/>
    <w:rsid w:val="00845B35"/>
    <w:rsid w:val="00853056"/>
    <w:rsid w:val="00856405"/>
    <w:rsid w:val="008639D2"/>
    <w:rsid w:val="008756E8"/>
    <w:rsid w:val="00875DB1"/>
    <w:rsid w:val="008766DE"/>
    <w:rsid w:val="00877DE7"/>
    <w:rsid w:val="008833DF"/>
    <w:rsid w:val="00883C2C"/>
    <w:rsid w:val="0088467A"/>
    <w:rsid w:val="00885A09"/>
    <w:rsid w:val="008866A2"/>
    <w:rsid w:val="00886B73"/>
    <w:rsid w:val="008914B1"/>
    <w:rsid w:val="00893379"/>
    <w:rsid w:val="00894075"/>
    <w:rsid w:val="008A082D"/>
    <w:rsid w:val="008B2E8B"/>
    <w:rsid w:val="008B69D7"/>
    <w:rsid w:val="008B7B2F"/>
    <w:rsid w:val="008C2A99"/>
    <w:rsid w:val="008D4A1A"/>
    <w:rsid w:val="008E135E"/>
    <w:rsid w:val="008E3016"/>
    <w:rsid w:val="008E5258"/>
    <w:rsid w:val="008E55D4"/>
    <w:rsid w:val="008F3ACE"/>
    <w:rsid w:val="00904F9B"/>
    <w:rsid w:val="00920AEA"/>
    <w:rsid w:val="00921016"/>
    <w:rsid w:val="00922028"/>
    <w:rsid w:val="00932910"/>
    <w:rsid w:val="009354EB"/>
    <w:rsid w:val="0094034D"/>
    <w:rsid w:val="00941473"/>
    <w:rsid w:val="00941564"/>
    <w:rsid w:val="00941C42"/>
    <w:rsid w:val="00946ACF"/>
    <w:rsid w:val="00952313"/>
    <w:rsid w:val="00967DCE"/>
    <w:rsid w:val="0097074C"/>
    <w:rsid w:val="00970A86"/>
    <w:rsid w:val="009755DA"/>
    <w:rsid w:val="00982AC8"/>
    <w:rsid w:val="009847F9"/>
    <w:rsid w:val="009875E3"/>
    <w:rsid w:val="009906CD"/>
    <w:rsid w:val="009A21B8"/>
    <w:rsid w:val="009A578F"/>
    <w:rsid w:val="009A5A4C"/>
    <w:rsid w:val="009B6D5A"/>
    <w:rsid w:val="009B6F7C"/>
    <w:rsid w:val="009C14A9"/>
    <w:rsid w:val="009C18D9"/>
    <w:rsid w:val="009C1EC9"/>
    <w:rsid w:val="009C5130"/>
    <w:rsid w:val="009C7519"/>
    <w:rsid w:val="009C753A"/>
    <w:rsid w:val="009D5B01"/>
    <w:rsid w:val="009D5FC4"/>
    <w:rsid w:val="009E3105"/>
    <w:rsid w:val="009E6A17"/>
    <w:rsid w:val="009F2347"/>
    <w:rsid w:val="009F40B4"/>
    <w:rsid w:val="009F5A44"/>
    <w:rsid w:val="00A02A35"/>
    <w:rsid w:val="00A14B2C"/>
    <w:rsid w:val="00A247D9"/>
    <w:rsid w:val="00A3225B"/>
    <w:rsid w:val="00A336BD"/>
    <w:rsid w:val="00A33B13"/>
    <w:rsid w:val="00A36C45"/>
    <w:rsid w:val="00A37CAE"/>
    <w:rsid w:val="00A403E1"/>
    <w:rsid w:val="00A411CF"/>
    <w:rsid w:val="00A420B9"/>
    <w:rsid w:val="00A4433D"/>
    <w:rsid w:val="00A45986"/>
    <w:rsid w:val="00A53494"/>
    <w:rsid w:val="00A56AAD"/>
    <w:rsid w:val="00A60238"/>
    <w:rsid w:val="00A67331"/>
    <w:rsid w:val="00A775BD"/>
    <w:rsid w:val="00A850D5"/>
    <w:rsid w:val="00A873B7"/>
    <w:rsid w:val="00A92FCB"/>
    <w:rsid w:val="00A9579E"/>
    <w:rsid w:val="00A959B2"/>
    <w:rsid w:val="00A9752B"/>
    <w:rsid w:val="00AA298D"/>
    <w:rsid w:val="00AB530B"/>
    <w:rsid w:val="00AD078C"/>
    <w:rsid w:val="00AE1BA9"/>
    <w:rsid w:val="00AE2EC8"/>
    <w:rsid w:val="00AE34E6"/>
    <w:rsid w:val="00AE37B0"/>
    <w:rsid w:val="00AE51F9"/>
    <w:rsid w:val="00B00A41"/>
    <w:rsid w:val="00B0643B"/>
    <w:rsid w:val="00B06625"/>
    <w:rsid w:val="00B111C6"/>
    <w:rsid w:val="00B154BD"/>
    <w:rsid w:val="00B1558C"/>
    <w:rsid w:val="00B158BC"/>
    <w:rsid w:val="00B20F00"/>
    <w:rsid w:val="00B25474"/>
    <w:rsid w:val="00B313A2"/>
    <w:rsid w:val="00B32602"/>
    <w:rsid w:val="00B36790"/>
    <w:rsid w:val="00B456B4"/>
    <w:rsid w:val="00B524D8"/>
    <w:rsid w:val="00B5368C"/>
    <w:rsid w:val="00B53F29"/>
    <w:rsid w:val="00B64FF4"/>
    <w:rsid w:val="00B65B04"/>
    <w:rsid w:val="00B66962"/>
    <w:rsid w:val="00B67A03"/>
    <w:rsid w:val="00B67ACE"/>
    <w:rsid w:val="00B70AF5"/>
    <w:rsid w:val="00B75354"/>
    <w:rsid w:val="00B805DB"/>
    <w:rsid w:val="00B95582"/>
    <w:rsid w:val="00B9629B"/>
    <w:rsid w:val="00BA180F"/>
    <w:rsid w:val="00BA61E4"/>
    <w:rsid w:val="00BC2CF4"/>
    <w:rsid w:val="00BC3F12"/>
    <w:rsid w:val="00BD1AD8"/>
    <w:rsid w:val="00BD238D"/>
    <w:rsid w:val="00BD3380"/>
    <w:rsid w:val="00BD3961"/>
    <w:rsid w:val="00BD39AB"/>
    <w:rsid w:val="00BE0ACF"/>
    <w:rsid w:val="00BE1528"/>
    <w:rsid w:val="00BE3548"/>
    <w:rsid w:val="00BF2261"/>
    <w:rsid w:val="00BF48DA"/>
    <w:rsid w:val="00BF5038"/>
    <w:rsid w:val="00BF5C02"/>
    <w:rsid w:val="00BF70E0"/>
    <w:rsid w:val="00C0160D"/>
    <w:rsid w:val="00C05713"/>
    <w:rsid w:val="00C077BE"/>
    <w:rsid w:val="00C17C4C"/>
    <w:rsid w:val="00C32988"/>
    <w:rsid w:val="00C35B1F"/>
    <w:rsid w:val="00C4418A"/>
    <w:rsid w:val="00C441FC"/>
    <w:rsid w:val="00C4623A"/>
    <w:rsid w:val="00C5163D"/>
    <w:rsid w:val="00C5769D"/>
    <w:rsid w:val="00C57DB9"/>
    <w:rsid w:val="00C754DD"/>
    <w:rsid w:val="00C76D0B"/>
    <w:rsid w:val="00C7716F"/>
    <w:rsid w:val="00C7771B"/>
    <w:rsid w:val="00C77D6A"/>
    <w:rsid w:val="00C8535A"/>
    <w:rsid w:val="00C91A0A"/>
    <w:rsid w:val="00C91A78"/>
    <w:rsid w:val="00C93CFB"/>
    <w:rsid w:val="00CA31C5"/>
    <w:rsid w:val="00CA7B3E"/>
    <w:rsid w:val="00CB3CE4"/>
    <w:rsid w:val="00CB4CB9"/>
    <w:rsid w:val="00CB6C42"/>
    <w:rsid w:val="00CC66FC"/>
    <w:rsid w:val="00CD6DF6"/>
    <w:rsid w:val="00CE3347"/>
    <w:rsid w:val="00CE4204"/>
    <w:rsid w:val="00CE7F32"/>
    <w:rsid w:val="00CF600D"/>
    <w:rsid w:val="00D0569A"/>
    <w:rsid w:val="00D10FC0"/>
    <w:rsid w:val="00D1434B"/>
    <w:rsid w:val="00D151A6"/>
    <w:rsid w:val="00D3471B"/>
    <w:rsid w:val="00D37D27"/>
    <w:rsid w:val="00D437E6"/>
    <w:rsid w:val="00D52CC7"/>
    <w:rsid w:val="00D6391E"/>
    <w:rsid w:val="00D64505"/>
    <w:rsid w:val="00D67503"/>
    <w:rsid w:val="00D70464"/>
    <w:rsid w:val="00D749F1"/>
    <w:rsid w:val="00D76CFD"/>
    <w:rsid w:val="00D935BA"/>
    <w:rsid w:val="00D96F8F"/>
    <w:rsid w:val="00D97507"/>
    <w:rsid w:val="00DC07E4"/>
    <w:rsid w:val="00DC52E3"/>
    <w:rsid w:val="00DD254B"/>
    <w:rsid w:val="00DD6D66"/>
    <w:rsid w:val="00DE452D"/>
    <w:rsid w:val="00DE5A70"/>
    <w:rsid w:val="00DE7BFF"/>
    <w:rsid w:val="00DF03D0"/>
    <w:rsid w:val="00DF3AD8"/>
    <w:rsid w:val="00DF5093"/>
    <w:rsid w:val="00E019B8"/>
    <w:rsid w:val="00E05389"/>
    <w:rsid w:val="00E156E3"/>
    <w:rsid w:val="00E20682"/>
    <w:rsid w:val="00E32990"/>
    <w:rsid w:val="00E3537C"/>
    <w:rsid w:val="00E36CCC"/>
    <w:rsid w:val="00E543F0"/>
    <w:rsid w:val="00E54DDB"/>
    <w:rsid w:val="00E570E7"/>
    <w:rsid w:val="00E57C14"/>
    <w:rsid w:val="00E71A0F"/>
    <w:rsid w:val="00E73366"/>
    <w:rsid w:val="00E82647"/>
    <w:rsid w:val="00E8702E"/>
    <w:rsid w:val="00E9270E"/>
    <w:rsid w:val="00E939DC"/>
    <w:rsid w:val="00E95371"/>
    <w:rsid w:val="00EA19FB"/>
    <w:rsid w:val="00EA4ADC"/>
    <w:rsid w:val="00EA7C2B"/>
    <w:rsid w:val="00EB13A7"/>
    <w:rsid w:val="00EB5FFC"/>
    <w:rsid w:val="00EB66E1"/>
    <w:rsid w:val="00EB6C5C"/>
    <w:rsid w:val="00EC1FB4"/>
    <w:rsid w:val="00EC7C33"/>
    <w:rsid w:val="00ED12FC"/>
    <w:rsid w:val="00ED41A5"/>
    <w:rsid w:val="00ED497F"/>
    <w:rsid w:val="00ED5EB2"/>
    <w:rsid w:val="00EF4B31"/>
    <w:rsid w:val="00EF676F"/>
    <w:rsid w:val="00EF79EB"/>
    <w:rsid w:val="00F10A2D"/>
    <w:rsid w:val="00F12C9E"/>
    <w:rsid w:val="00F1344D"/>
    <w:rsid w:val="00F16A49"/>
    <w:rsid w:val="00F201C1"/>
    <w:rsid w:val="00F23F5F"/>
    <w:rsid w:val="00F25FA1"/>
    <w:rsid w:val="00F2714E"/>
    <w:rsid w:val="00F30385"/>
    <w:rsid w:val="00F34976"/>
    <w:rsid w:val="00F43CBB"/>
    <w:rsid w:val="00F51C4D"/>
    <w:rsid w:val="00F56099"/>
    <w:rsid w:val="00F638B1"/>
    <w:rsid w:val="00F6702C"/>
    <w:rsid w:val="00F7344A"/>
    <w:rsid w:val="00F73510"/>
    <w:rsid w:val="00F739FB"/>
    <w:rsid w:val="00F74198"/>
    <w:rsid w:val="00F76347"/>
    <w:rsid w:val="00F816E1"/>
    <w:rsid w:val="00F8503F"/>
    <w:rsid w:val="00F90F14"/>
    <w:rsid w:val="00F941D6"/>
    <w:rsid w:val="00FA3BB3"/>
    <w:rsid w:val="00FA7594"/>
    <w:rsid w:val="00FA7693"/>
    <w:rsid w:val="00FB2964"/>
    <w:rsid w:val="00FB4204"/>
    <w:rsid w:val="00FC12CF"/>
    <w:rsid w:val="00FC44F0"/>
    <w:rsid w:val="00FD1B0C"/>
    <w:rsid w:val="00FD44FC"/>
    <w:rsid w:val="00FE1D8D"/>
    <w:rsid w:val="00FE4ABB"/>
    <w:rsid w:val="00FE6C2E"/>
    <w:rsid w:val="00FE7429"/>
    <w:rsid w:val="00FF0CA0"/>
    <w:rsid w:val="00FF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47111CC-E339-4022-9861-00C0089C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37C"/>
    <w:pPr>
      <w:ind w:left="720"/>
      <w:contextualSpacing/>
    </w:pPr>
  </w:style>
  <w:style w:type="table" w:styleId="a4">
    <w:name w:val="Table Grid"/>
    <w:basedOn w:val="a1"/>
    <w:rsid w:val="003245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B1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13A7"/>
  </w:style>
  <w:style w:type="paragraph" w:styleId="a7">
    <w:name w:val="footer"/>
    <w:basedOn w:val="a"/>
    <w:link w:val="a8"/>
    <w:uiPriority w:val="99"/>
    <w:unhideWhenUsed/>
    <w:rsid w:val="00EB1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13A7"/>
  </w:style>
  <w:style w:type="paragraph" w:styleId="a9">
    <w:name w:val="Balloon Text"/>
    <w:basedOn w:val="a"/>
    <w:link w:val="aa"/>
    <w:uiPriority w:val="99"/>
    <w:semiHidden/>
    <w:unhideWhenUsed/>
    <w:rsid w:val="00DE5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5A7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5A20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A20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5A20DF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AE2EC8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095DA-5E10-4E04-B1B0-49E291BD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12120</Words>
  <Characters>69087</Characters>
  <Application>Microsoft Office Word</Application>
  <DocSecurity>0</DocSecurity>
  <Lines>575</Lines>
  <Paragraphs>162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DDGroup</Company>
  <LinksUpToDate>false</LinksUpToDate>
  <CharactersWithSpaces>81045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cp:lastPrinted>2021-04-07T08:28:00Z</cp:lastPrinted>
  <dcterms:created xsi:type="dcterms:W3CDTF">2021-05-11T03:21:00Z</dcterms:created>
  <dcterms:modified xsi:type="dcterms:W3CDTF">2021-05-11T03:21:00Z</dcterms:modified>
</cp:coreProperties>
</file>